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97AD" w14:textId="77777777" w:rsidR="003E09D1" w:rsidRPr="00FC5412" w:rsidRDefault="001B0ACE">
      <w:pPr>
        <w:pStyle w:val="BodyText"/>
        <w:spacing w:before="2" w:after="1"/>
        <w:rPr>
          <w:rFonts w:ascii="Times New Roman" w:hAnsi="Times New Roman"/>
          <w:sz w:val="21"/>
          <w:lang w:val="en-GB"/>
        </w:rPr>
      </w:pPr>
      <w:r w:rsidRPr="00FC5412">
        <w:rPr>
          <w:rFonts w:ascii="Times New Roman" w:hAnsi="Times New Roman"/>
          <w:noProof/>
          <w:sz w:val="21"/>
          <w:lang w:val="en-GB"/>
        </w:rPr>
        <mc:AlternateContent>
          <mc:Choice Requires="wpg">
            <w:drawing>
              <wp:anchor distT="635" distB="635" distL="635" distR="635" simplePos="0" relativeHeight="251657216" behindDoc="1" locked="0" layoutInCell="0" allowOverlap="1" wp14:anchorId="1764332A" wp14:editId="7A0B8236">
                <wp:simplePos x="0" y="0"/>
                <wp:positionH relativeFrom="page">
                  <wp:posOffset>635</wp:posOffset>
                </wp:positionH>
                <wp:positionV relativeFrom="page">
                  <wp:posOffset>6428105</wp:posOffset>
                </wp:positionV>
                <wp:extent cx="3081020" cy="4267200"/>
                <wp:effectExtent l="635" t="635" r="635" b="635"/>
                <wp:wrapNone/>
                <wp:docPr id="1" name="Grupo 3"/>
                <wp:cNvGraphicFramePr/>
                <a:graphic xmlns:a="http://schemas.openxmlformats.org/drawingml/2006/main">
                  <a:graphicData uri="http://schemas.microsoft.com/office/word/2010/wordprocessingGroup">
                    <wpg:wgp>
                      <wpg:cNvGrpSpPr/>
                      <wpg:grpSpPr>
                        <a:xfrm>
                          <a:off x="0" y="0"/>
                          <a:ext cx="3080880" cy="4267080"/>
                          <a:chOff x="0" y="0"/>
                          <a:chExt cx="3080880" cy="4267080"/>
                        </a:xfrm>
                      </wpg:grpSpPr>
                      <wps:wsp>
                        <wps:cNvPr id="2" name="Freeform: Shape 2"/>
                        <wps:cNvSpPr/>
                        <wps:spPr>
                          <a:xfrm>
                            <a:off x="0" y="0"/>
                            <a:ext cx="3080880" cy="4267080"/>
                          </a:xfrm>
                          <a:custGeom>
                            <a:avLst/>
                            <a:gdLst/>
                            <a:ahLst/>
                            <a:cxnLst/>
                            <a:rect l="l" t="t" r="r" b="b"/>
                            <a:pathLst>
                              <a:path w="8558" h="11853">
                                <a:moveTo>
                                  <a:pt x="2762" y="1704"/>
                                </a:moveTo>
                                <a:lnTo>
                                  <a:pt x="2762" y="1580"/>
                                </a:lnTo>
                                <a:lnTo>
                                  <a:pt x="2753" y="1459"/>
                                </a:lnTo>
                                <a:lnTo>
                                  <a:pt x="2737" y="1341"/>
                                </a:lnTo>
                                <a:lnTo>
                                  <a:pt x="2714" y="1224"/>
                                </a:lnTo>
                                <a:lnTo>
                                  <a:pt x="2684" y="1109"/>
                                </a:lnTo>
                                <a:lnTo>
                                  <a:pt x="2646" y="998"/>
                                </a:lnTo>
                                <a:lnTo>
                                  <a:pt x="2644" y="995"/>
                                </a:lnTo>
                                <a:lnTo>
                                  <a:pt x="2642" y="991"/>
                                </a:lnTo>
                                <a:lnTo>
                                  <a:pt x="2640" y="988"/>
                                </a:lnTo>
                                <a:lnTo>
                                  <a:pt x="2575" y="847"/>
                                </a:lnTo>
                                <a:lnTo>
                                  <a:pt x="2496" y="714"/>
                                </a:lnTo>
                                <a:lnTo>
                                  <a:pt x="2404" y="587"/>
                                </a:lnTo>
                                <a:lnTo>
                                  <a:pt x="2298" y="469"/>
                                </a:lnTo>
                                <a:lnTo>
                                  <a:pt x="2203" y="383"/>
                                </a:lnTo>
                                <a:lnTo>
                                  <a:pt x="2099" y="305"/>
                                </a:lnTo>
                                <a:lnTo>
                                  <a:pt x="1991" y="235"/>
                                </a:lnTo>
                                <a:lnTo>
                                  <a:pt x="1878" y="175"/>
                                </a:lnTo>
                                <a:lnTo>
                                  <a:pt x="1765" y="122"/>
                                </a:lnTo>
                                <a:lnTo>
                                  <a:pt x="1654" y="83"/>
                                </a:lnTo>
                                <a:lnTo>
                                  <a:pt x="1540" y="49"/>
                                </a:lnTo>
                                <a:lnTo>
                                  <a:pt x="1423" y="26"/>
                                </a:lnTo>
                                <a:lnTo>
                                  <a:pt x="1305" y="9"/>
                                </a:lnTo>
                                <a:lnTo>
                                  <a:pt x="1183" y="0"/>
                                </a:lnTo>
                                <a:lnTo>
                                  <a:pt x="1062" y="0"/>
                                </a:lnTo>
                                <a:lnTo>
                                  <a:pt x="936" y="7"/>
                                </a:lnTo>
                                <a:lnTo>
                                  <a:pt x="811" y="21"/>
                                </a:lnTo>
                                <a:lnTo>
                                  <a:pt x="684" y="44"/>
                                </a:lnTo>
                                <a:lnTo>
                                  <a:pt x="557" y="74"/>
                                </a:lnTo>
                                <a:lnTo>
                                  <a:pt x="428" y="111"/>
                                </a:lnTo>
                                <a:lnTo>
                                  <a:pt x="301" y="157"/>
                                </a:lnTo>
                                <a:lnTo>
                                  <a:pt x="174" y="212"/>
                                </a:lnTo>
                                <a:lnTo>
                                  <a:pt x="47" y="273"/>
                                </a:lnTo>
                                <a:lnTo>
                                  <a:pt x="-2" y="300"/>
                                </a:lnTo>
                                <a:lnTo>
                                  <a:pt x="-2" y="5408"/>
                                </a:lnTo>
                                <a:lnTo>
                                  <a:pt x="1963" y="3443"/>
                                </a:lnTo>
                                <a:lnTo>
                                  <a:pt x="2071" y="3328"/>
                                </a:lnTo>
                                <a:lnTo>
                                  <a:pt x="2169" y="3210"/>
                                </a:lnTo>
                                <a:lnTo>
                                  <a:pt x="2261" y="3090"/>
                                </a:lnTo>
                                <a:lnTo>
                                  <a:pt x="2346" y="2967"/>
                                </a:lnTo>
                                <a:lnTo>
                                  <a:pt x="2422" y="2843"/>
                                </a:lnTo>
                                <a:lnTo>
                                  <a:pt x="2490" y="2718"/>
                                </a:lnTo>
                                <a:lnTo>
                                  <a:pt x="2552" y="2591"/>
                                </a:lnTo>
                                <a:lnTo>
                                  <a:pt x="2605" y="2464"/>
                                </a:lnTo>
                                <a:lnTo>
                                  <a:pt x="2651" y="2337"/>
                                </a:lnTo>
                                <a:lnTo>
                                  <a:pt x="2688" y="2208"/>
                                </a:lnTo>
                                <a:lnTo>
                                  <a:pt x="2718" y="2081"/>
                                </a:lnTo>
                                <a:lnTo>
                                  <a:pt x="2741" y="1954"/>
                                </a:lnTo>
                                <a:lnTo>
                                  <a:pt x="2755" y="1829"/>
                                </a:lnTo>
                                <a:lnTo>
                                  <a:pt x="2762" y="1704"/>
                                </a:lnTo>
                                <a:moveTo>
                                  <a:pt x="8558" y="4196"/>
                                </a:moveTo>
                                <a:lnTo>
                                  <a:pt x="8555" y="4075"/>
                                </a:lnTo>
                                <a:lnTo>
                                  <a:pt x="8544" y="3956"/>
                                </a:lnTo>
                                <a:lnTo>
                                  <a:pt x="8528" y="3838"/>
                                </a:lnTo>
                                <a:lnTo>
                                  <a:pt x="8507" y="3722"/>
                                </a:lnTo>
                                <a:lnTo>
                                  <a:pt x="8479" y="3609"/>
                                </a:lnTo>
                                <a:lnTo>
                                  <a:pt x="8447" y="3498"/>
                                </a:lnTo>
                                <a:lnTo>
                                  <a:pt x="8408" y="3388"/>
                                </a:lnTo>
                                <a:lnTo>
                                  <a:pt x="8407" y="3383"/>
                                </a:lnTo>
                                <a:lnTo>
                                  <a:pt x="8403" y="3380"/>
                                </a:lnTo>
                                <a:lnTo>
                                  <a:pt x="8401" y="3374"/>
                                </a:lnTo>
                                <a:lnTo>
                                  <a:pt x="8348" y="3253"/>
                                </a:lnTo>
                                <a:lnTo>
                                  <a:pt x="8287" y="3136"/>
                                </a:lnTo>
                                <a:lnTo>
                                  <a:pt x="8216" y="3023"/>
                                </a:lnTo>
                                <a:lnTo>
                                  <a:pt x="8140" y="2914"/>
                                </a:lnTo>
                                <a:lnTo>
                                  <a:pt x="8054" y="2810"/>
                                </a:lnTo>
                                <a:lnTo>
                                  <a:pt x="7962" y="2709"/>
                                </a:lnTo>
                                <a:lnTo>
                                  <a:pt x="7860" y="2616"/>
                                </a:lnTo>
                                <a:lnTo>
                                  <a:pt x="7752" y="2531"/>
                                </a:lnTo>
                                <a:lnTo>
                                  <a:pt x="7639" y="2452"/>
                                </a:lnTo>
                                <a:lnTo>
                                  <a:pt x="7521" y="2381"/>
                                </a:lnTo>
                                <a:lnTo>
                                  <a:pt x="7399" y="2318"/>
                                </a:lnTo>
                                <a:lnTo>
                                  <a:pt x="7278" y="2263"/>
                                </a:lnTo>
                                <a:lnTo>
                                  <a:pt x="7168" y="2223"/>
                                </a:lnTo>
                                <a:lnTo>
                                  <a:pt x="7057" y="2189"/>
                                </a:lnTo>
                                <a:lnTo>
                                  <a:pt x="6944" y="2161"/>
                                </a:lnTo>
                                <a:lnTo>
                                  <a:pt x="6830" y="2138"/>
                                </a:lnTo>
                                <a:lnTo>
                                  <a:pt x="6711" y="2122"/>
                                </a:lnTo>
                                <a:lnTo>
                                  <a:pt x="6593" y="2111"/>
                                </a:lnTo>
                                <a:lnTo>
                                  <a:pt x="6472" y="2106"/>
                                </a:lnTo>
                                <a:lnTo>
                                  <a:pt x="6350" y="2108"/>
                                </a:lnTo>
                                <a:lnTo>
                                  <a:pt x="6226" y="2115"/>
                                </a:lnTo>
                                <a:lnTo>
                                  <a:pt x="6103" y="2127"/>
                                </a:lnTo>
                                <a:lnTo>
                                  <a:pt x="5978" y="2147"/>
                                </a:lnTo>
                                <a:lnTo>
                                  <a:pt x="5852" y="2171"/>
                                </a:lnTo>
                                <a:lnTo>
                                  <a:pt x="5727" y="2201"/>
                                </a:lnTo>
                                <a:lnTo>
                                  <a:pt x="5602" y="2238"/>
                                </a:lnTo>
                                <a:lnTo>
                                  <a:pt x="5475" y="2281"/>
                                </a:lnTo>
                                <a:lnTo>
                                  <a:pt x="5350" y="2328"/>
                                </a:lnTo>
                                <a:lnTo>
                                  <a:pt x="5224" y="2383"/>
                                </a:lnTo>
                                <a:lnTo>
                                  <a:pt x="5099" y="2445"/>
                                </a:lnTo>
                                <a:lnTo>
                                  <a:pt x="4974" y="2510"/>
                                </a:lnTo>
                                <a:lnTo>
                                  <a:pt x="4851" y="2582"/>
                                </a:lnTo>
                                <a:lnTo>
                                  <a:pt x="4729" y="2660"/>
                                </a:lnTo>
                                <a:lnTo>
                                  <a:pt x="4607" y="2745"/>
                                </a:lnTo>
                                <a:lnTo>
                                  <a:pt x="4487" y="2836"/>
                                </a:lnTo>
                                <a:lnTo>
                                  <a:pt x="4369" y="2932"/>
                                </a:lnTo>
                                <a:lnTo>
                                  <a:pt x="4253" y="3034"/>
                                </a:lnTo>
                                <a:lnTo>
                                  <a:pt x="4138" y="3143"/>
                                </a:lnTo>
                                <a:lnTo>
                                  <a:pt x="-2" y="7283"/>
                                </a:lnTo>
                                <a:lnTo>
                                  <a:pt x="-2" y="11855"/>
                                </a:lnTo>
                                <a:lnTo>
                                  <a:pt x="2191" y="11855"/>
                                </a:lnTo>
                                <a:lnTo>
                                  <a:pt x="7678" y="6366"/>
                                </a:lnTo>
                                <a:lnTo>
                                  <a:pt x="7740" y="6297"/>
                                </a:lnTo>
                                <a:lnTo>
                                  <a:pt x="7835" y="6179"/>
                                </a:lnTo>
                                <a:lnTo>
                                  <a:pt x="7925" y="6061"/>
                                </a:lnTo>
                                <a:lnTo>
                                  <a:pt x="8008" y="5939"/>
                                </a:lnTo>
                                <a:lnTo>
                                  <a:pt x="8086" y="5817"/>
                                </a:lnTo>
                                <a:lnTo>
                                  <a:pt x="8156" y="5694"/>
                                </a:lnTo>
                                <a:lnTo>
                                  <a:pt x="8223" y="5570"/>
                                </a:lnTo>
                                <a:lnTo>
                                  <a:pt x="8283" y="5445"/>
                                </a:lnTo>
                                <a:lnTo>
                                  <a:pt x="8336" y="5320"/>
                                </a:lnTo>
                                <a:lnTo>
                                  <a:pt x="8384" y="5193"/>
                                </a:lnTo>
                                <a:lnTo>
                                  <a:pt x="8426" y="5068"/>
                                </a:lnTo>
                                <a:lnTo>
                                  <a:pt x="8463" y="4942"/>
                                </a:lnTo>
                                <a:lnTo>
                                  <a:pt x="8493" y="4815"/>
                                </a:lnTo>
                                <a:lnTo>
                                  <a:pt x="8518" y="4690"/>
                                </a:lnTo>
                                <a:lnTo>
                                  <a:pt x="8537" y="4565"/>
                                </a:lnTo>
                                <a:lnTo>
                                  <a:pt x="8549" y="4442"/>
                                </a:lnTo>
                                <a:lnTo>
                                  <a:pt x="8556" y="4318"/>
                                </a:lnTo>
                                <a:lnTo>
                                  <a:pt x="8558" y="4196"/>
                                </a:lnTo>
                                <a:close/>
                              </a:path>
                            </a:pathLst>
                          </a:custGeom>
                          <a:solidFill>
                            <a:srgbClr val="DE7511"/>
                          </a:solidFill>
                          <a:ln w="0">
                            <a:noFill/>
                          </a:ln>
                        </wps:spPr>
                        <wps:style>
                          <a:lnRef idx="0">
                            <a:scrgbClr r="0" g="0" b="0"/>
                          </a:lnRef>
                          <a:fillRef idx="0">
                            <a:scrgbClr r="0" g="0" b="0"/>
                          </a:fillRef>
                          <a:effectRef idx="0">
                            <a:scrgbClr r="0" g="0" b="0"/>
                          </a:effectRef>
                          <a:fontRef idx="minor"/>
                        </wps:style>
                        <wps:bodyPr/>
                      </wps:wsp>
                      <wps:wsp>
                        <wps:cNvPr id="3" name="Freeform: Shape 3"/>
                        <wps:cNvSpPr/>
                        <wps:spPr>
                          <a:xfrm>
                            <a:off x="54720" y="2932560"/>
                            <a:ext cx="2553840" cy="1334880"/>
                          </a:xfrm>
                          <a:custGeom>
                            <a:avLst/>
                            <a:gdLst/>
                            <a:ahLst/>
                            <a:cxnLst/>
                            <a:rect l="l" t="t" r="r" b="b"/>
                            <a:pathLst>
                              <a:path w="7094" h="3709">
                                <a:moveTo>
                                  <a:pt x="-1" y="3711"/>
                                </a:moveTo>
                                <a:lnTo>
                                  <a:pt x="2673" y="1037"/>
                                </a:lnTo>
                                <a:lnTo>
                                  <a:pt x="2788" y="928"/>
                                </a:lnTo>
                                <a:lnTo>
                                  <a:pt x="2904" y="826"/>
                                </a:lnTo>
                                <a:lnTo>
                                  <a:pt x="3022" y="730"/>
                                </a:lnTo>
                                <a:lnTo>
                                  <a:pt x="3142" y="639"/>
                                </a:lnTo>
                                <a:lnTo>
                                  <a:pt x="3264" y="556"/>
                                </a:lnTo>
                                <a:lnTo>
                                  <a:pt x="3385" y="476"/>
                                </a:lnTo>
                                <a:lnTo>
                                  <a:pt x="3509" y="404"/>
                                </a:lnTo>
                                <a:lnTo>
                                  <a:pt x="3634" y="339"/>
                                </a:lnTo>
                                <a:lnTo>
                                  <a:pt x="3759" y="277"/>
                                </a:lnTo>
                                <a:lnTo>
                                  <a:pt x="3885" y="222"/>
                                </a:lnTo>
                                <a:lnTo>
                                  <a:pt x="4010" y="175"/>
                                </a:lnTo>
                                <a:lnTo>
                                  <a:pt x="4137" y="132"/>
                                </a:lnTo>
                                <a:lnTo>
                                  <a:pt x="4262" y="95"/>
                                </a:lnTo>
                                <a:lnTo>
                                  <a:pt x="4387" y="65"/>
                                </a:lnTo>
                                <a:lnTo>
                                  <a:pt x="4513" y="41"/>
                                </a:lnTo>
                                <a:lnTo>
                                  <a:pt x="4638" y="21"/>
                                </a:lnTo>
                                <a:lnTo>
                                  <a:pt x="4761" y="9"/>
                                </a:lnTo>
                                <a:lnTo>
                                  <a:pt x="4885" y="2"/>
                                </a:lnTo>
                                <a:lnTo>
                                  <a:pt x="5006" y="0"/>
                                </a:lnTo>
                                <a:lnTo>
                                  <a:pt x="5126" y="5"/>
                                </a:lnTo>
                                <a:lnTo>
                                  <a:pt x="5246" y="16"/>
                                </a:lnTo>
                                <a:lnTo>
                                  <a:pt x="5364" y="32"/>
                                </a:lnTo>
                                <a:lnTo>
                                  <a:pt x="5479" y="55"/>
                                </a:lnTo>
                                <a:lnTo>
                                  <a:pt x="5592" y="83"/>
                                </a:lnTo>
                                <a:lnTo>
                                  <a:pt x="5703" y="116"/>
                                </a:lnTo>
                                <a:lnTo>
                                  <a:pt x="5812" y="157"/>
                                </a:lnTo>
                                <a:lnTo>
                                  <a:pt x="5934" y="212"/>
                                </a:lnTo>
                                <a:lnTo>
                                  <a:pt x="6056" y="275"/>
                                </a:lnTo>
                                <a:lnTo>
                                  <a:pt x="6174" y="346"/>
                                </a:lnTo>
                                <a:lnTo>
                                  <a:pt x="6287" y="423"/>
                                </a:lnTo>
                                <a:lnTo>
                                  <a:pt x="6395" y="510"/>
                                </a:lnTo>
                                <a:lnTo>
                                  <a:pt x="6497" y="603"/>
                                </a:lnTo>
                                <a:lnTo>
                                  <a:pt x="6589" y="704"/>
                                </a:lnTo>
                                <a:lnTo>
                                  <a:pt x="6675" y="808"/>
                                </a:lnTo>
                                <a:lnTo>
                                  <a:pt x="6751" y="917"/>
                                </a:lnTo>
                                <a:lnTo>
                                  <a:pt x="6821" y="1030"/>
                                </a:lnTo>
                                <a:lnTo>
                                  <a:pt x="6883" y="1147"/>
                                </a:lnTo>
                                <a:lnTo>
                                  <a:pt x="6936" y="1268"/>
                                </a:lnTo>
                                <a:lnTo>
                                  <a:pt x="6938" y="1274"/>
                                </a:lnTo>
                                <a:lnTo>
                                  <a:pt x="6941" y="1277"/>
                                </a:lnTo>
                                <a:lnTo>
                                  <a:pt x="6943" y="1282"/>
                                </a:lnTo>
                                <a:lnTo>
                                  <a:pt x="6982" y="1392"/>
                                </a:lnTo>
                                <a:lnTo>
                                  <a:pt x="7014" y="1503"/>
                                </a:lnTo>
                                <a:lnTo>
                                  <a:pt x="7042" y="1616"/>
                                </a:lnTo>
                                <a:lnTo>
                                  <a:pt x="7063" y="1732"/>
                                </a:lnTo>
                                <a:lnTo>
                                  <a:pt x="7079" y="1850"/>
                                </a:lnTo>
                                <a:lnTo>
                                  <a:pt x="7089" y="1969"/>
                                </a:lnTo>
                                <a:lnTo>
                                  <a:pt x="7093" y="2090"/>
                                </a:lnTo>
                                <a:lnTo>
                                  <a:pt x="7091" y="2212"/>
                                </a:lnTo>
                                <a:lnTo>
                                  <a:pt x="7084" y="2335"/>
                                </a:lnTo>
                                <a:lnTo>
                                  <a:pt x="7072" y="2459"/>
                                </a:lnTo>
                                <a:lnTo>
                                  <a:pt x="7052" y="2584"/>
                                </a:lnTo>
                                <a:lnTo>
                                  <a:pt x="7028" y="2709"/>
                                </a:lnTo>
                                <a:lnTo>
                                  <a:pt x="6998" y="2836"/>
                                </a:lnTo>
                                <a:lnTo>
                                  <a:pt x="6961" y="2962"/>
                                </a:lnTo>
                                <a:lnTo>
                                  <a:pt x="6918" y="3087"/>
                                </a:lnTo>
                                <a:lnTo>
                                  <a:pt x="6871" y="3214"/>
                                </a:lnTo>
                                <a:lnTo>
                                  <a:pt x="6818" y="3339"/>
                                </a:lnTo>
                                <a:lnTo>
                                  <a:pt x="6758" y="3464"/>
                                </a:lnTo>
                                <a:lnTo>
                                  <a:pt x="6691" y="3588"/>
                                </a:lnTo>
                                <a:lnTo>
                                  <a:pt x="6620" y="3711"/>
                                </a:lnTo>
                                <a:lnTo>
                                  <a:pt x="-1" y="3711"/>
                                </a:lnTo>
                                <a:close/>
                              </a:path>
                            </a:pathLst>
                          </a:custGeom>
                          <a:solidFill>
                            <a:srgbClr val="8B77C1"/>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upo 3" style="position:absolute;margin-left:0.05pt;margin-top:506.15pt;width:242.6pt;height:336pt" coordorigin="1,10123" coordsize="4852,6720"/>
            </w:pict>
          </mc:Fallback>
        </mc:AlternateContent>
      </w:r>
      <w:r w:rsidR="00D15648">
        <w:rPr>
          <w:rFonts w:ascii="Times New Roman" w:hAnsi="Times New Roman"/>
          <w:sz w:val="21"/>
          <w:lang w:val="en-GB"/>
        </w:rPr>
        <w:pict w14:anchorId="17D0D864">
          <v:shape id="shape_0" o:spid="_x0000_s2051" alt="" style="position:absolute;margin-left:554.65pt;margin-top:153.55pt;width:40.7pt;height:115.3pt;z-index:251658240;mso-wrap-style:none;mso-wrap-edited:f;mso-width-percent:0;mso-height-percent:0;mso-position-horizontal-relative:page;mso-position-vertical-relative:page;mso-width-percent:0;mso-height-percent:0;v-text-anchor:middle" coordsize="1439,4071" o:allowincell="f" path="m1438,r,4070l1336,4056r-117,-25l1106,3999,996,3959,882,3908,769,3846,662,3777,560,3698r-95,-87l357,3493,265,3369,187,3235,122,3096r,-6l118,3088r-2,-5l79,2972,48,2859,25,2743,9,2623,2,2501,,2379,7,2254,23,2127,44,2001,74,1874r39,-127l157,1618r53,-127l271,1366r68,-125l415,1116,500,994,592,874,692,756,799,640,1438,e" fillcolor="#de7511" stroked="f" strokecolor="#3465a4">
            <v:fill color2="#218aee"/>
            <v:path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 o:connectangles="0,0,0,0,0,0,0,0,0,0,0,0,0,0,0,0,0,0,0,0,0,0,0,0,0,0,0,0,0,0,0,0,0,0,0,0,0,0,0"/>
            <w10:wrap anchorx="page" anchory="page"/>
          </v:shape>
        </w:pict>
      </w:r>
      <w:r w:rsidR="00D15648">
        <w:rPr>
          <w:rFonts w:ascii="Times New Roman" w:hAnsi="Times New Roman"/>
          <w:sz w:val="21"/>
          <w:lang w:val="en-GB"/>
        </w:rPr>
        <w:pict w14:anchorId="68844C39">
          <v:shape id="_x0000_s2050" alt="" style="position:absolute;margin-left:.05pt;margin-top:302.25pt;width:44.05pt;height:116.65pt;z-index:251659264;mso-wrap-style:none;mso-wrap-edited:f;mso-width-percent:0;mso-height-percent:0;mso-position-horizontal-relative:page;mso-position-vertical-relative:page;mso-width-percent:0;mso-height-percent:0;v-text-anchor:middle" coordsize="1556,4117" o:allowincell="f" path="m,4116l,,71,21,192,63r117,52l424,171r111,64l640,303r102,76l839,460r92,86l1017,637r81,97l1173,837r69,106l1306,1054r56,114l1412,1287r43,121l1490,1533r28,126l1539,1790r13,134l1555,2058r-3,136l1539,2328r-21,130l1490,2584r-35,126l1412,2831r-50,118l1306,3064r-64,109l1173,3281r-75,101l1017,3479r-86,93l839,3657r-97,82l640,3814r-105,69l424,3947r-115,56l192,4053,71,4097,,4116e" fillcolor="#8b77c1" stroked="f" strokecolor="#3465a4">
            <v:fill color2="#74883e"/>
            <v:path o:connecttype="custom" o:connectlocs="0,2147483646;0,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 o:connectangles="0,0,0,0,0,0,0,0,0,0,0,0,0,0,0,0,0,0,0,0,0,0,0,0,0,0,0,0,0,0,0,0,0,0,0,0,0,0,0,0,0,0,0,0,0,0"/>
            <w10:wrap anchorx="page" anchory="page"/>
          </v:shape>
        </w:pict>
      </w:r>
    </w:p>
    <w:p w14:paraId="76747E3E" w14:textId="77777777" w:rsidR="003E09D1" w:rsidRPr="00FC5412" w:rsidRDefault="001B0ACE">
      <w:pPr>
        <w:pStyle w:val="BodyText"/>
        <w:ind w:left="101"/>
        <w:rPr>
          <w:rFonts w:ascii="Times New Roman" w:hAnsi="Times New Roman"/>
          <w:sz w:val="20"/>
          <w:lang w:val="en-GB"/>
        </w:rPr>
      </w:pPr>
      <w:r w:rsidRPr="00FC5412">
        <w:rPr>
          <w:noProof/>
          <w:lang w:val="en-GB"/>
        </w:rPr>
        <w:drawing>
          <wp:inline distT="0" distB="0" distL="0" distR="0" wp14:anchorId="6649BAEA" wp14:editId="359498DF">
            <wp:extent cx="5561330" cy="1205230"/>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0"/>
                    <a:stretch>
                      <a:fillRect/>
                    </a:stretch>
                  </pic:blipFill>
                  <pic:spPr bwMode="auto">
                    <a:xfrm>
                      <a:off x="0" y="0"/>
                      <a:ext cx="5561330" cy="1205230"/>
                    </a:xfrm>
                    <a:prstGeom prst="rect">
                      <a:avLst/>
                    </a:prstGeom>
                  </pic:spPr>
                </pic:pic>
              </a:graphicData>
            </a:graphic>
          </wp:inline>
        </w:drawing>
      </w:r>
    </w:p>
    <w:p w14:paraId="6E1C0BC7" w14:textId="77777777" w:rsidR="003E09D1" w:rsidRPr="00FC5412" w:rsidRDefault="003E09D1">
      <w:pPr>
        <w:pStyle w:val="BodyText"/>
        <w:rPr>
          <w:rFonts w:ascii="Times New Roman" w:hAnsi="Times New Roman"/>
          <w:sz w:val="20"/>
          <w:lang w:val="en-GB"/>
        </w:rPr>
      </w:pPr>
    </w:p>
    <w:p w14:paraId="44FCC9DA" w14:textId="77777777" w:rsidR="003E09D1" w:rsidRPr="00FC5412" w:rsidRDefault="003E09D1">
      <w:pPr>
        <w:pStyle w:val="BodyText"/>
        <w:rPr>
          <w:rFonts w:ascii="Times New Roman" w:hAnsi="Times New Roman"/>
          <w:sz w:val="20"/>
          <w:lang w:val="en-GB"/>
        </w:rPr>
      </w:pPr>
    </w:p>
    <w:p w14:paraId="30D89413" w14:textId="77777777" w:rsidR="003E09D1" w:rsidRPr="00FC5412" w:rsidRDefault="003E09D1">
      <w:pPr>
        <w:pStyle w:val="BodyText"/>
        <w:rPr>
          <w:rFonts w:ascii="Times New Roman" w:hAnsi="Times New Roman"/>
          <w:sz w:val="20"/>
          <w:lang w:val="en-GB"/>
        </w:rPr>
      </w:pPr>
    </w:p>
    <w:p w14:paraId="7FB57B9C" w14:textId="77777777" w:rsidR="003E09D1" w:rsidRPr="00FC5412" w:rsidRDefault="003E09D1">
      <w:pPr>
        <w:pStyle w:val="BodyText"/>
        <w:spacing w:before="6" w:after="0"/>
        <w:rPr>
          <w:rFonts w:ascii="Times New Roman" w:hAnsi="Times New Roman"/>
          <w:sz w:val="22"/>
          <w:lang w:val="en-GB"/>
        </w:rPr>
      </w:pPr>
    </w:p>
    <w:p w14:paraId="70540049" w14:textId="33E72269" w:rsidR="003E09D1" w:rsidRPr="00FC5412" w:rsidRDefault="001B0ACE" w:rsidP="00D03830">
      <w:pPr>
        <w:pStyle w:val="BodyText"/>
        <w:spacing w:before="138" w:after="0"/>
        <w:rPr>
          <w:b/>
          <w:bCs/>
          <w:color w:val="8B77C1"/>
          <w:sz w:val="36"/>
          <w:szCs w:val="30"/>
          <w:lang w:val="en-GB"/>
        </w:rPr>
      </w:pPr>
      <w:r w:rsidRPr="00FC5412">
        <w:rPr>
          <w:b/>
          <w:bCs/>
          <w:color w:val="8B77C1"/>
          <w:sz w:val="36"/>
          <w:szCs w:val="30"/>
          <w:lang w:val="en-GB"/>
        </w:rPr>
        <w:t>D</w:t>
      </w:r>
      <w:r w:rsidR="0009101F" w:rsidRPr="00FC5412">
        <w:rPr>
          <w:b/>
          <w:bCs/>
          <w:color w:val="8B77C1"/>
          <w:sz w:val="36"/>
          <w:szCs w:val="30"/>
          <w:lang w:val="en-GB"/>
        </w:rPr>
        <w:t>4.</w:t>
      </w:r>
      <w:r w:rsidR="0005504D">
        <w:rPr>
          <w:b/>
          <w:bCs/>
          <w:color w:val="8B77C1"/>
          <w:sz w:val="36"/>
          <w:szCs w:val="30"/>
          <w:lang w:val="en-GB"/>
        </w:rPr>
        <w:t>2</w:t>
      </w:r>
      <w:r w:rsidR="0009101F" w:rsidRPr="00FC5412">
        <w:rPr>
          <w:b/>
          <w:bCs/>
          <w:color w:val="8B77C1"/>
          <w:sz w:val="36"/>
          <w:szCs w:val="30"/>
          <w:lang w:val="en-GB"/>
        </w:rPr>
        <w:t xml:space="preserve"> </w:t>
      </w:r>
    </w:p>
    <w:p w14:paraId="619BF105" w14:textId="77777777" w:rsidR="0009101F" w:rsidRPr="00FC5412" w:rsidRDefault="0009101F">
      <w:pPr>
        <w:pStyle w:val="BodyText"/>
        <w:spacing w:before="138" w:after="0"/>
        <w:ind w:left="101"/>
        <w:rPr>
          <w:color w:val="8B77C1"/>
          <w:lang w:val="en-GB"/>
        </w:rPr>
      </w:pPr>
    </w:p>
    <w:p w14:paraId="7A610618" w14:textId="77777777" w:rsidR="00722C22" w:rsidRDefault="0005504D" w:rsidP="0005504D">
      <w:pPr>
        <w:pStyle w:val="BodyText"/>
        <w:rPr>
          <w:rFonts w:eastAsia="Tahoma" w:cs="Tahoma"/>
          <w:b/>
          <w:bCs/>
          <w:color w:val="7030A0"/>
          <w:sz w:val="52"/>
          <w:szCs w:val="52"/>
          <w:lang w:val="en-GB" w:eastAsia="en-US" w:bidi="ar-SA"/>
        </w:rPr>
      </w:pPr>
      <w:r w:rsidRPr="00D03830">
        <w:rPr>
          <w:rFonts w:eastAsia="Tahoma" w:cs="Tahoma"/>
          <w:b/>
          <w:bCs/>
          <w:color w:val="7030A0"/>
          <w:sz w:val="48"/>
          <w:szCs w:val="48"/>
          <w:lang w:val="en-GB" w:eastAsia="en-US" w:bidi="ar-SA"/>
        </w:rPr>
        <w:t>MA</w:t>
      </w:r>
      <w:r w:rsidRPr="00D03830">
        <w:rPr>
          <w:rFonts w:eastAsia="Tahoma" w:cs="Tahoma"/>
          <w:b/>
          <w:bCs/>
          <w:color w:val="7030A0"/>
          <w:sz w:val="52"/>
          <w:szCs w:val="52"/>
          <w:lang w:val="en-GB" w:eastAsia="en-US" w:bidi="ar-SA"/>
        </w:rPr>
        <w:t>PPING GOOD PRACTICES TO TACKLE GENDER PAY INEQUALITIES</w:t>
      </w:r>
      <w:r w:rsidR="00D03830" w:rsidRPr="00D03830">
        <w:rPr>
          <w:rFonts w:eastAsia="Tahoma" w:cs="Tahoma"/>
          <w:b/>
          <w:bCs/>
          <w:color w:val="7030A0"/>
          <w:sz w:val="52"/>
          <w:szCs w:val="52"/>
          <w:lang w:val="en-GB" w:eastAsia="en-US" w:bidi="ar-SA"/>
        </w:rPr>
        <w:t xml:space="preserve"> </w:t>
      </w:r>
    </w:p>
    <w:p w14:paraId="5509ED00" w14:textId="592EFB06" w:rsidR="00D03830" w:rsidRPr="00CE1633" w:rsidRDefault="00D03830" w:rsidP="0005504D">
      <w:pPr>
        <w:pStyle w:val="BodyText"/>
        <w:rPr>
          <w:rFonts w:eastAsia="Tahoma" w:cs="Tahoma"/>
          <w:b/>
          <w:bCs/>
          <w:color w:val="7030A0"/>
          <w:sz w:val="36"/>
          <w:szCs w:val="36"/>
          <w:lang w:val="en-GB" w:eastAsia="en-US" w:bidi="ar-SA"/>
        </w:rPr>
      </w:pPr>
      <w:r w:rsidRPr="00CE1633">
        <w:rPr>
          <w:rFonts w:eastAsia="Tahoma" w:cs="Tahoma"/>
          <w:b/>
          <w:bCs/>
          <w:color w:val="7030A0"/>
          <w:sz w:val="36"/>
          <w:szCs w:val="36"/>
          <w:lang w:val="en-GB" w:eastAsia="en-US" w:bidi="ar-SA"/>
        </w:rPr>
        <w:t>Annex</w:t>
      </w:r>
    </w:p>
    <w:p w14:paraId="0A20AA91" w14:textId="77777777" w:rsidR="003E09D1" w:rsidRPr="0005504D" w:rsidRDefault="003E09D1">
      <w:pPr>
        <w:pStyle w:val="BodyText"/>
        <w:rPr>
          <w:sz w:val="20"/>
          <w:lang w:val="en-GB"/>
        </w:rPr>
      </w:pPr>
    </w:p>
    <w:p w14:paraId="223C21EB" w14:textId="77777777" w:rsidR="003E09D1" w:rsidRPr="00FC5412" w:rsidRDefault="003E09D1">
      <w:pPr>
        <w:pStyle w:val="BodyText"/>
        <w:rPr>
          <w:sz w:val="20"/>
          <w:lang w:val="en-GB"/>
        </w:rPr>
      </w:pPr>
    </w:p>
    <w:p w14:paraId="77EDF269" w14:textId="77777777" w:rsidR="003E09D1" w:rsidRPr="00FC5412" w:rsidRDefault="003E09D1">
      <w:pPr>
        <w:pStyle w:val="BodyText"/>
        <w:rPr>
          <w:sz w:val="20"/>
          <w:lang w:val="en-GB"/>
        </w:rPr>
      </w:pPr>
    </w:p>
    <w:p w14:paraId="7E798F44" w14:textId="77777777" w:rsidR="003E09D1" w:rsidRPr="00FC5412" w:rsidRDefault="003E09D1">
      <w:pPr>
        <w:pStyle w:val="BodyText"/>
        <w:rPr>
          <w:sz w:val="20"/>
          <w:lang w:val="en-GB"/>
        </w:rPr>
      </w:pPr>
    </w:p>
    <w:p w14:paraId="187A1DEA" w14:textId="77777777" w:rsidR="003E09D1" w:rsidRPr="00FC5412" w:rsidRDefault="003E09D1">
      <w:pPr>
        <w:pStyle w:val="BodyText"/>
        <w:rPr>
          <w:sz w:val="20"/>
          <w:lang w:val="en-GB"/>
        </w:rPr>
      </w:pPr>
    </w:p>
    <w:p w14:paraId="1FDA5760" w14:textId="77777777" w:rsidR="003E09D1" w:rsidRPr="00FC5412" w:rsidRDefault="001B0ACE">
      <w:pPr>
        <w:pStyle w:val="BodyText"/>
        <w:rPr>
          <w:sz w:val="20"/>
          <w:lang w:val="en-GB"/>
        </w:rPr>
        <w:sectPr w:rsidR="003E09D1" w:rsidRPr="00FC5412">
          <w:pgSz w:w="11906" w:h="16838"/>
          <w:pgMar w:top="2569" w:right="1134" w:bottom="2735" w:left="1134" w:header="0" w:footer="2176" w:gutter="0"/>
          <w:cols w:space="708"/>
          <w:formProt w:val="0"/>
          <w:docGrid w:linePitch="100"/>
        </w:sectPr>
      </w:pPr>
      <w:r w:rsidRPr="00FC5412">
        <w:rPr>
          <w:noProof/>
          <w:sz w:val="20"/>
          <w:lang w:val="en-GB"/>
        </w:rPr>
        <w:drawing>
          <wp:anchor distT="0" distB="0" distL="0" distR="0" simplePos="0" relativeHeight="251656192" behindDoc="0" locked="0" layoutInCell="0" allowOverlap="1" wp14:anchorId="20B97223" wp14:editId="055C7B5D">
            <wp:simplePos x="0" y="0"/>
            <wp:positionH relativeFrom="column">
              <wp:posOffset>4118610</wp:posOffset>
            </wp:positionH>
            <wp:positionV relativeFrom="page">
              <wp:posOffset>9361170</wp:posOffset>
            </wp:positionV>
            <wp:extent cx="2051685" cy="457200"/>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noChangeArrowheads="1"/>
                    </pic:cNvPicPr>
                  </pic:nvPicPr>
                  <pic:blipFill>
                    <a:blip r:embed="rId11"/>
                    <a:stretch>
                      <a:fillRect/>
                    </a:stretch>
                  </pic:blipFill>
                  <pic:spPr bwMode="auto">
                    <a:xfrm>
                      <a:off x="0" y="0"/>
                      <a:ext cx="2051685" cy="457200"/>
                    </a:xfrm>
                    <a:prstGeom prst="rect">
                      <a:avLst/>
                    </a:prstGeom>
                  </pic:spPr>
                </pic:pic>
              </a:graphicData>
            </a:graphic>
          </wp:anchor>
        </w:drawing>
      </w:r>
    </w:p>
    <w:p w14:paraId="1656CEA7" w14:textId="77777777" w:rsidR="003E09D1" w:rsidRPr="00FC5412" w:rsidRDefault="003E09D1">
      <w:pPr>
        <w:pStyle w:val="BodyText"/>
        <w:rPr>
          <w:sz w:val="20"/>
          <w:lang w:val="en-GB"/>
        </w:rPr>
      </w:pPr>
    </w:p>
    <w:p w14:paraId="1B4288CE" w14:textId="77777777" w:rsidR="003E09D1" w:rsidRPr="00FC5412" w:rsidRDefault="003E09D1">
      <w:pPr>
        <w:rPr>
          <w:lang w:val="en-GB"/>
        </w:rPr>
      </w:pPr>
    </w:p>
    <w:p w14:paraId="6286F9C9" w14:textId="77777777" w:rsidR="003E09D1" w:rsidRPr="00FC5412" w:rsidRDefault="003E09D1">
      <w:pPr>
        <w:rPr>
          <w:rFonts w:ascii="Calibri" w:eastAsia="Times New Roman" w:hAnsi="Calibri" w:cs="Times New Roman"/>
          <w:b/>
          <w:i/>
          <w:color w:val="7030A0"/>
          <w:sz w:val="40"/>
          <w:szCs w:val="40"/>
          <w:lang w:val="en-GB"/>
        </w:rPr>
      </w:pPr>
    </w:p>
    <w:tbl>
      <w:tblPr>
        <w:tblW w:w="9643" w:type="dxa"/>
        <w:tblLayout w:type="fixed"/>
        <w:tblCellMar>
          <w:top w:w="72" w:type="dxa"/>
          <w:left w:w="144" w:type="dxa"/>
          <w:bottom w:w="72" w:type="dxa"/>
          <w:right w:w="144" w:type="dxa"/>
        </w:tblCellMar>
        <w:tblLook w:val="04A0" w:firstRow="1" w:lastRow="0" w:firstColumn="1" w:lastColumn="0" w:noHBand="0" w:noVBand="1"/>
      </w:tblPr>
      <w:tblGrid>
        <w:gridCol w:w="2746"/>
        <w:gridCol w:w="6897"/>
      </w:tblGrid>
      <w:tr w:rsidR="003E09D1" w:rsidRPr="00FC5412" w14:paraId="265F4074" w14:textId="77777777">
        <w:trPr>
          <w:trHeight w:val="153"/>
        </w:trPr>
        <w:tc>
          <w:tcPr>
            <w:tcW w:w="9642" w:type="dxa"/>
            <w:gridSpan w:val="2"/>
            <w:tcBorders>
              <w:top w:val="single" w:sz="8" w:space="0" w:color="FFFFFF"/>
              <w:left w:val="single" w:sz="8" w:space="0" w:color="FFFFFF"/>
              <w:bottom w:val="single" w:sz="24" w:space="0" w:color="FFFFFF"/>
              <w:right w:val="single" w:sz="8" w:space="0" w:color="FFFFFF"/>
            </w:tcBorders>
            <w:shd w:val="clear" w:color="auto" w:fill="504079"/>
          </w:tcPr>
          <w:p w14:paraId="6F2981A3" w14:textId="77777777" w:rsidR="003E09D1" w:rsidRPr="00FC5412" w:rsidRDefault="001B0ACE" w:rsidP="00E91FD5">
            <w:pPr>
              <w:widowControl w:val="0"/>
              <w:jc w:val="both"/>
              <w:rPr>
                <w:color w:val="FFFFFF"/>
                <w:lang w:val="en-GB"/>
              </w:rPr>
            </w:pPr>
            <w:r w:rsidRPr="00FC5412">
              <w:rPr>
                <w:color w:val="FFFFFF"/>
                <w:lang w:val="en-GB"/>
              </w:rPr>
              <w:t>Document Data</w:t>
            </w:r>
          </w:p>
        </w:tc>
      </w:tr>
      <w:tr w:rsidR="003E09D1" w:rsidRPr="00FC5412" w14:paraId="08457082" w14:textId="77777777" w:rsidTr="00AC03A5">
        <w:trPr>
          <w:trHeight w:val="405"/>
        </w:trPr>
        <w:tc>
          <w:tcPr>
            <w:tcW w:w="2746" w:type="dxa"/>
            <w:tcBorders>
              <w:top w:val="single" w:sz="24" w:space="0" w:color="FFFFFF"/>
              <w:left w:val="single" w:sz="8" w:space="0" w:color="FFFFFF"/>
              <w:bottom w:val="single" w:sz="8" w:space="0" w:color="FFFFFF"/>
              <w:right w:val="single" w:sz="8" w:space="0" w:color="FFFFFF"/>
            </w:tcBorders>
            <w:shd w:val="clear" w:color="auto" w:fill="D4CBE4"/>
          </w:tcPr>
          <w:p w14:paraId="2F386DE5" w14:textId="77777777" w:rsidR="003E09D1" w:rsidRPr="00FC5412" w:rsidRDefault="001B0ACE">
            <w:pPr>
              <w:widowControl w:val="0"/>
              <w:rPr>
                <w:lang w:val="en-GB"/>
              </w:rPr>
            </w:pPr>
            <w:r w:rsidRPr="00FC5412">
              <w:rPr>
                <w:lang w:val="en-GB"/>
              </w:rPr>
              <w:t>Report Title</w:t>
            </w:r>
          </w:p>
        </w:tc>
        <w:tc>
          <w:tcPr>
            <w:tcW w:w="6896" w:type="dxa"/>
            <w:tcBorders>
              <w:top w:val="single" w:sz="24" w:space="0" w:color="FFFFFF"/>
              <w:left w:val="single" w:sz="8" w:space="0" w:color="FFFFFF"/>
              <w:bottom w:val="single" w:sz="8" w:space="0" w:color="FFFFFF"/>
              <w:right w:val="single" w:sz="8" w:space="0" w:color="FFFFFF"/>
            </w:tcBorders>
            <w:shd w:val="clear" w:color="auto" w:fill="D4CBE4"/>
          </w:tcPr>
          <w:p w14:paraId="22DCB62C" w14:textId="6D2684EB" w:rsidR="003E09D1" w:rsidRPr="00FC5412" w:rsidRDefault="00BD71B7" w:rsidP="00E91FD5">
            <w:pPr>
              <w:widowControl w:val="0"/>
              <w:jc w:val="both"/>
              <w:rPr>
                <w:lang w:val="en-GB"/>
              </w:rPr>
            </w:pPr>
            <w:r w:rsidRPr="00DB09DB">
              <w:rPr>
                <w:lang w:val="en-GB"/>
              </w:rPr>
              <w:t>Mappin</w:t>
            </w:r>
            <w:r w:rsidR="00AC03A5">
              <w:rPr>
                <w:lang w:val="en-GB"/>
              </w:rPr>
              <w:t>g</w:t>
            </w:r>
            <w:r w:rsidRPr="00DB09DB">
              <w:rPr>
                <w:lang w:val="en-GB"/>
              </w:rPr>
              <w:t xml:space="preserve"> Good Practices to Tackle Gender Pay Inequalities</w:t>
            </w:r>
          </w:p>
        </w:tc>
      </w:tr>
      <w:tr w:rsidR="003E09D1" w:rsidRPr="00FC5412" w14:paraId="6433EE0A" w14:textId="77777777" w:rsidTr="00AC03A5">
        <w:trPr>
          <w:trHeight w:val="666"/>
        </w:trPr>
        <w:tc>
          <w:tcPr>
            <w:tcW w:w="2746" w:type="dxa"/>
            <w:tcBorders>
              <w:top w:val="single" w:sz="8" w:space="0" w:color="FFFFFF"/>
              <w:left w:val="single" w:sz="8" w:space="0" w:color="FFFFFF"/>
              <w:bottom w:val="single" w:sz="8" w:space="0" w:color="FFFFFF"/>
              <w:right w:val="single" w:sz="8" w:space="0" w:color="FFFFFF"/>
            </w:tcBorders>
            <w:shd w:val="clear" w:color="auto" w:fill="D4CBE4"/>
          </w:tcPr>
          <w:p w14:paraId="6AF9D961" w14:textId="77777777" w:rsidR="003E09D1" w:rsidRPr="00FC5412" w:rsidRDefault="001B0ACE">
            <w:pPr>
              <w:widowControl w:val="0"/>
              <w:rPr>
                <w:lang w:val="en-GB"/>
              </w:rPr>
            </w:pPr>
            <w:r w:rsidRPr="00FC5412">
              <w:rPr>
                <w:lang w:val="en-GB"/>
              </w:rPr>
              <w:t>Contributors</w:t>
            </w:r>
          </w:p>
        </w:tc>
        <w:tc>
          <w:tcPr>
            <w:tcW w:w="6896" w:type="dxa"/>
            <w:tcBorders>
              <w:top w:val="single" w:sz="8" w:space="0" w:color="FFFFFF"/>
              <w:left w:val="single" w:sz="8" w:space="0" w:color="FFFFFF"/>
              <w:bottom w:val="single" w:sz="8" w:space="0" w:color="FFFFFF"/>
              <w:right w:val="single" w:sz="8" w:space="0" w:color="FFFFFF"/>
            </w:tcBorders>
            <w:shd w:val="clear" w:color="auto" w:fill="D4CBE4"/>
          </w:tcPr>
          <w:p w14:paraId="0E155A3F" w14:textId="61B0F372" w:rsidR="003E09D1" w:rsidRPr="00BD71B7" w:rsidRDefault="00BD71B7" w:rsidP="00E91FD5">
            <w:pPr>
              <w:widowControl w:val="0"/>
              <w:jc w:val="both"/>
              <w:rPr>
                <w:lang w:val="it-IT"/>
              </w:rPr>
            </w:pPr>
            <w:r w:rsidRPr="00F60F0B">
              <w:rPr>
                <w:lang w:val="it-IT"/>
              </w:rPr>
              <w:t xml:space="preserve">Mariangela D’Acri, Dr. Panos Kapotas, Dr. Devran </w:t>
            </w:r>
            <w:r w:rsidRPr="001262EB">
              <w:t>Gülel</w:t>
            </w:r>
            <w:r>
              <w:t xml:space="preserve">, </w:t>
            </w:r>
            <w:r w:rsidRPr="00F60F0B">
              <w:t>Lorena Fernández Álvarez</w:t>
            </w:r>
          </w:p>
        </w:tc>
      </w:tr>
      <w:tr w:rsidR="003E09D1" w:rsidRPr="00FC5412" w14:paraId="6783137D" w14:textId="77777777">
        <w:trPr>
          <w:trHeight w:val="282"/>
        </w:trPr>
        <w:tc>
          <w:tcPr>
            <w:tcW w:w="2746" w:type="dxa"/>
            <w:tcBorders>
              <w:left w:val="single" w:sz="8" w:space="0" w:color="FFFFFF"/>
              <w:bottom w:val="single" w:sz="8" w:space="0" w:color="FFFFFF"/>
              <w:right w:val="single" w:sz="8" w:space="0" w:color="FFFFFF"/>
            </w:tcBorders>
            <w:shd w:val="clear" w:color="auto" w:fill="D4CBE4"/>
          </w:tcPr>
          <w:p w14:paraId="373FD697" w14:textId="77777777" w:rsidR="003E09D1" w:rsidRPr="00FC5412" w:rsidRDefault="001B0ACE">
            <w:pPr>
              <w:widowControl w:val="0"/>
              <w:rPr>
                <w:lang w:val="en-GB"/>
              </w:rPr>
            </w:pPr>
            <w:r w:rsidRPr="00FC5412">
              <w:rPr>
                <w:lang w:val="en-GB"/>
              </w:rPr>
              <w:t>Work Package</w:t>
            </w:r>
          </w:p>
        </w:tc>
        <w:tc>
          <w:tcPr>
            <w:tcW w:w="6896" w:type="dxa"/>
            <w:tcBorders>
              <w:left w:val="single" w:sz="8" w:space="0" w:color="FFFFFF"/>
              <w:bottom w:val="single" w:sz="8" w:space="0" w:color="FFFFFF"/>
              <w:right w:val="single" w:sz="8" w:space="0" w:color="FFFFFF"/>
            </w:tcBorders>
            <w:shd w:val="clear" w:color="auto" w:fill="D4CBE4"/>
          </w:tcPr>
          <w:p w14:paraId="27183A58" w14:textId="128BC31E" w:rsidR="003E09D1" w:rsidRPr="00FC5412" w:rsidRDefault="00BD71B7" w:rsidP="00E91FD5">
            <w:pPr>
              <w:widowControl w:val="0"/>
              <w:jc w:val="both"/>
              <w:rPr>
                <w:lang w:val="en-GB"/>
              </w:rPr>
            </w:pPr>
            <w:r w:rsidRPr="00DB09DB">
              <w:rPr>
                <w:lang w:val="en-GB"/>
              </w:rPr>
              <w:t>WP4 – Gender Gaps in Employment and Enterprise</w:t>
            </w:r>
          </w:p>
        </w:tc>
      </w:tr>
      <w:tr w:rsidR="003E09D1" w:rsidRPr="00FC5412" w14:paraId="7AFCB822" w14:textId="77777777" w:rsidTr="00AC03A5">
        <w:trPr>
          <w:trHeight w:val="555"/>
        </w:trPr>
        <w:tc>
          <w:tcPr>
            <w:tcW w:w="2746" w:type="dxa"/>
            <w:tcBorders>
              <w:top w:val="single" w:sz="8" w:space="0" w:color="FFFFFF"/>
              <w:left w:val="single" w:sz="8" w:space="0" w:color="FFFFFF"/>
              <w:bottom w:val="single" w:sz="8" w:space="0" w:color="FFFFFF"/>
              <w:right w:val="single" w:sz="8" w:space="0" w:color="FFFFFF"/>
            </w:tcBorders>
            <w:shd w:val="clear" w:color="auto" w:fill="D4CBE4"/>
          </w:tcPr>
          <w:p w14:paraId="2A8F943A" w14:textId="77777777" w:rsidR="003E09D1" w:rsidRPr="00FC5412" w:rsidRDefault="001B0ACE">
            <w:pPr>
              <w:widowControl w:val="0"/>
              <w:rPr>
                <w:lang w:val="en-GB"/>
              </w:rPr>
            </w:pPr>
            <w:r w:rsidRPr="00FC5412">
              <w:rPr>
                <w:lang w:val="en-GB"/>
              </w:rPr>
              <w:t>Responsible Project Partner</w:t>
            </w:r>
          </w:p>
        </w:tc>
        <w:tc>
          <w:tcPr>
            <w:tcW w:w="6896" w:type="dxa"/>
            <w:tcBorders>
              <w:top w:val="single" w:sz="8" w:space="0" w:color="FFFFFF"/>
              <w:left w:val="single" w:sz="8" w:space="0" w:color="FFFFFF"/>
              <w:bottom w:val="single" w:sz="8" w:space="0" w:color="FFFFFF"/>
              <w:right w:val="single" w:sz="8" w:space="0" w:color="FFFFFF"/>
            </w:tcBorders>
            <w:shd w:val="clear" w:color="auto" w:fill="D4CBE4"/>
          </w:tcPr>
          <w:p w14:paraId="61364B89" w14:textId="77777777" w:rsidR="003E09D1" w:rsidRPr="00FC5412" w:rsidRDefault="0009101F" w:rsidP="00E91FD5">
            <w:pPr>
              <w:widowControl w:val="0"/>
              <w:jc w:val="both"/>
              <w:rPr>
                <w:lang w:val="en-GB"/>
              </w:rPr>
            </w:pPr>
            <w:r w:rsidRPr="00FC5412">
              <w:rPr>
                <w:lang w:val="en-GB"/>
              </w:rPr>
              <w:t>University of Portsmouth</w:t>
            </w:r>
          </w:p>
        </w:tc>
      </w:tr>
      <w:tr w:rsidR="003E09D1" w:rsidRPr="00FC5412" w14:paraId="4FFA5BEC" w14:textId="77777777">
        <w:trPr>
          <w:trHeight w:val="187"/>
        </w:trPr>
        <w:tc>
          <w:tcPr>
            <w:tcW w:w="2746" w:type="dxa"/>
            <w:tcBorders>
              <w:left w:val="single" w:sz="8" w:space="0" w:color="FFFFFF"/>
              <w:bottom w:val="single" w:sz="8" w:space="0" w:color="FFFFFF"/>
              <w:right w:val="single" w:sz="8" w:space="0" w:color="FFFFFF"/>
            </w:tcBorders>
            <w:shd w:val="clear" w:color="auto" w:fill="D4CBE4"/>
          </w:tcPr>
          <w:p w14:paraId="4C30E9BC" w14:textId="77777777" w:rsidR="003E09D1" w:rsidRPr="00FC5412" w:rsidRDefault="001B0ACE">
            <w:pPr>
              <w:widowControl w:val="0"/>
              <w:rPr>
                <w:lang w:val="en-GB"/>
              </w:rPr>
            </w:pPr>
            <w:r w:rsidRPr="00FC5412">
              <w:rPr>
                <w:lang w:val="en-GB"/>
              </w:rPr>
              <w:t>Reviewers</w:t>
            </w:r>
          </w:p>
        </w:tc>
        <w:tc>
          <w:tcPr>
            <w:tcW w:w="6896" w:type="dxa"/>
            <w:tcBorders>
              <w:left w:val="single" w:sz="8" w:space="0" w:color="FFFFFF"/>
              <w:bottom w:val="single" w:sz="8" w:space="0" w:color="FFFFFF"/>
              <w:right w:val="single" w:sz="8" w:space="0" w:color="FFFFFF"/>
            </w:tcBorders>
            <w:shd w:val="clear" w:color="auto" w:fill="D4CBE4"/>
          </w:tcPr>
          <w:p w14:paraId="57FC4312" w14:textId="77777777" w:rsidR="00E92DED" w:rsidRDefault="00E21A53" w:rsidP="00E91FD5">
            <w:pPr>
              <w:widowControl w:val="0"/>
              <w:jc w:val="both"/>
              <w:rPr>
                <w:lang w:val="it-IT"/>
              </w:rPr>
            </w:pPr>
            <w:r w:rsidRPr="00BD71B7">
              <w:rPr>
                <w:lang w:val="it-IT"/>
              </w:rPr>
              <w:t>Mirella Visser</w:t>
            </w:r>
            <w:r w:rsidR="00722C22">
              <w:rPr>
                <w:lang w:val="it-IT"/>
              </w:rPr>
              <w:t>;</w:t>
            </w:r>
            <w:r w:rsidRPr="00BD71B7">
              <w:rPr>
                <w:lang w:val="it-IT"/>
              </w:rPr>
              <w:t xml:space="preserve"> </w:t>
            </w:r>
            <w:r w:rsidR="00722C22">
              <w:rPr>
                <w:lang w:val="it-IT"/>
              </w:rPr>
              <w:t xml:space="preserve">Dr. </w:t>
            </w:r>
            <w:r w:rsidR="00BD71B7" w:rsidRPr="00F60F0B">
              <w:rPr>
                <w:lang w:val="it-IT"/>
              </w:rPr>
              <w:t>Sara Bened</w:t>
            </w:r>
            <w:r w:rsidR="00BD71B7">
              <w:rPr>
                <w:lang w:val="it-IT"/>
              </w:rPr>
              <w:t>í</w:t>
            </w:r>
            <w:r w:rsidR="00BD71B7" w:rsidRPr="00F60F0B">
              <w:rPr>
                <w:lang w:val="it-IT"/>
              </w:rPr>
              <w:t xml:space="preserve"> La</w:t>
            </w:r>
            <w:r w:rsidR="00BD71B7">
              <w:rPr>
                <w:lang w:val="it-IT"/>
              </w:rPr>
              <w:t>huert</w:t>
            </w:r>
            <w:r w:rsidR="00E92DED">
              <w:rPr>
                <w:lang w:val="it-IT"/>
              </w:rPr>
              <w:t>a</w:t>
            </w:r>
          </w:p>
          <w:p w14:paraId="56C49E51" w14:textId="3140BB5A" w:rsidR="00E92DED" w:rsidRPr="00BD71B7" w:rsidRDefault="00E92DED" w:rsidP="00E91FD5">
            <w:pPr>
              <w:widowControl w:val="0"/>
              <w:jc w:val="both"/>
              <w:rPr>
                <w:lang w:val="it-IT"/>
              </w:rPr>
            </w:pPr>
          </w:p>
        </w:tc>
      </w:tr>
      <w:tr w:rsidR="003E09D1" w:rsidRPr="00FC5412" w14:paraId="4173980F" w14:textId="77777777">
        <w:trPr>
          <w:trHeight w:val="260"/>
        </w:trPr>
        <w:tc>
          <w:tcPr>
            <w:tcW w:w="2746" w:type="dxa"/>
            <w:tcBorders>
              <w:top w:val="single" w:sz="8" w:space="0" w:color="FFFFFF"/>
              <w:left w:val="single" w:sz="8" w:space="0" w:color="FFFFFF"/>
              <w:bottom w:val="single" w:sz="8" w:space="0" w:color="FFFFFF"/>
              <w:right w:val="single" w:sz="8" w:space="0" w:color="FFFFFF"/>
            </w:tcBorders>
            <w:shd w:val="clear" w:color="auto" w:fill="D4CBE4"/>
          </w:tcPr>
          <w:p w14:paraId="52A5460C" w14:textId="77777777" w:rsidR="003E09D1" w:rsidRPr="00FC5412" w:rsidRDefault="001B0ACE">
            <w:pPr>
              <w:widowControl w:val="0"/>
              <w:rPr>
                <w:lang w:val="en-GB"/>
              </w:rPr>
            </w:pPr>
            <w:r w:rsidRPr="00FC5412">
              <w:rPr>
                <w:lang w:val="en-GB"/>
              </w:rPr>
              <w:t>Due Date</w:t>
            </w:r>
          </w:p>
        </w:tc>
        <w:tc>
          <w:tcPr>
            <w:tcW w:w="6896" w:type="dxa"/>
            <w:tcBorders>
              <w:top w:val="single" w:sz="8" w:space="0" w:color="FFFFFF"/>
              <w:left w:val="single" w:sz="8" w:space="0" w:color="FFFFFF"/>
              <w:bottom w:val="single" w:sz="8" w:space="0" w:color="FFFFFF"/>
              <w:right w:val="single" w:sz="8" w:space="0" w:color="FFFFFF"/>
            </w:tcBorders>
            <w:shd w:val="clear" w:color="auto" w:fill="D4CBE4"/>
          </w:tcPr>
          <w:p w14:paraId="297D27FB" w14:textId="7A1B80A8" w:rsidR="003E09D1" w:rsidRPr="00FC5412" w:rsidRDefault="007A47DF" w:rsidP="00E91FD5">
            <w:pPr>
              <w:widowControl w:val="0"/>
              <w:jc w:val="both"/>
              <w:rPr>
                <w:lang w:val="en-GB"/>
              </w:rPr>
            </w:pPr>
            <w:r>
              <w:rPr>
                <w:lang w:val="en-GB"/>
              </w:rPr>
              <w:t>31</w:t>
            </w:r>
            <w:r w:rsidR="00E86EC4" w:rsidRPr="00E86EC4">
              <w:rPr>
                <w:vertAlign w:val="superscript"/>
                <w:lang w:val="en-GB"/>
              </w:rPr>
              <w:t>st</w:t>
            </w:r>
            <w:r>
              <w:rPr>
                <w:vertAlign w:val="superscript"/>
                <w:lang w:val="en-GB"/>
              </w:rPr>
              <w:t xml:space="preserve"> </w:t>
            </w:r>
            <w:r>
              <w:rPr>
                <w:lang w:val="en-GB"/>
              </w:rPr>
              <w:t>August 2024 extended to 30</w:t>
            </w:r>
            <w:r w:rsidR="00E86EC4" w:rsidRPr="00E86EC4">
              <w:rPr>
                <w:vertAlign w:val="superscript"/>
                <w:lang w:val="en-GB"/>
              </w:rPr>
              <w:t>th</w:t>
            </w:r>
            <w:r>
              <w:rPr>
                <w:lang w:val="en-GB"/>
              </w:rPr>
              <w:t xml:space="preserve"> June 2025</w:t>
            </w:r>
          </w:p>
        </w:tc>
      </w:tr>
      <w:tr w:rsidR="003E09D1" w:rsidRPr="00FC5412" w14:paraId="10506AC1" w14:textId="77777777">
        <w:trPr>
          <w:trHeight w:val="215"/>
        </w:trPr>
        <w:tc>
          <w:tcPr>
            <w:tcW w:w="2746" w:type="dxa"/>
            <w:tcBorders>
              <w:top w:val="single" w:sz="8" w:space="0" w:color="FFFFFF"/>
              <w:left w:val="single" w:sz="8" w:space="0" w:color="FFFFFF"/>
              <w:bottom w:val="single" w:sz="8" w:space="0" w:color="FFFFFF"/>
              <w:right w:val="single" w:sz="8" w:space="0" w:color="FFFFFF"/>
            </w:tcBorders>
            <w:shd w:val="clear" w:color="auto" w:fill="D4CBE4"/>
          </w:tcPr>
          <w:p w14:paraId="0A9D430E" w14:textId="77777777" w:rsidR="003E09D1" w:rsidRPr="00FC5412" w:rsidRDefault="001B0ACE">
            <w:pPr>
              <w:widowControl w:val="0"/>
              <w:rPr>
                <w:lang w:val="en-GB"/>
              </w:rPr>
            </w:pPr>
            <w:r w:rsidRPr="00FC5412">
              <w:rPr>
                <w:lang w:val="en-GB"/>
              </w:rPr>
              <w:t>Delivery Date</w:t>
            </w:r>
          </w:p>
        </w:tc>
        <w:tc>
          <w:tcPr>
            <w:tcW w:w="6896" w:type="dxa"/>
            <w:tcBorders>
              <w:top w:val="single" w:sz="8" w:space="0" w:color="FFFFFF"/>
              <w:left w:val="single" w:sz="8" w:space="0" w:color="FFFFFF"/>
              <w:bottom w:val="single" w:sz="8" w:space="0" w:color="FFFFFF"/>
              <w:right w:val="single" w:sz="8" w:space="0" w:color="FFFFFF"/>
            </w:tcBorders>
            <w:shd w:val="clear" w:color="auto" w:fill="D4CBE4"/>
          </w:tcPr>
          <w:p w14:paraId="4E222E20" w14:textId="286668A0" w:rsidR="003E09D1" w:rsidRPr="00FC5412" w:rsidRDefault="007A47DF" w:rsidP="00E91FD5">
            <w:pPr>
              <w:widowControl w:val="0"/>
              <w:jc w:val="both"/>
              <w:rPr>
                <w:lang w:val="en-GB"/>
              </w:rPr>
            </w:pPr>
            <w:r>
              <w:rPr>
                <w:lang w:val="en-GB"/>
              </w:rPr>
              <w:t>8</w:t>
            </w:r>
            <w:r w:rsidR="00E86EC4" w:rsidRPr="00E86EC4">
              <w:rPr>
                <w:vertAlign w:val="superscript"/>
                <w:lang w:val="en-GB"/>
              </w:rPr>
              <w:t>th</w:t>
            </w:r>
            <w:r>
              <w:rPr>
                <w:lang w:val="en-GB"/>
              </w:rPr>
              <w:t xml:space="preserve"> July 2025</w:t>
            </w:r>
            <w:r w:rsidR="00BD71B7">
              <w:rPr>
                <w:lang w:val="en-GB"/>
              </w:rPr>
              <w:t xml:space="preserve"> – Updated Version </w:t>
            </w:r>
            <w:r w:rsidR="00E86EC4">
              <w:rPr>
                <w:lang w:val="en-GB"/>
              </w:rPr>
              <w:t>2</w:t>
            </w:r>
            <w:r w:rsidR="00AC24E5">
              <w:rPr>
                <w:lang w:val="en-GB"/>
              </w:rPr>
              <w:t>9</w:t>
            </w:r>
            <w:r w:rsidR="00E86EC4" w:rsidRPr="00E86EC4">
              <w:rPr>
                <w:vertAlign w:val="superscript"/>
                <w:lang w:val="en-GB"/>
              </w:rPr>
              <w:t>th</w:t>
            </w:r>
            <w:r w:rsidR="00E86EC4">
              <w:rPr>
                <w:lang w:val="en-GB"/>
              </w:rPr>
              <w:t xml:space="preserve"> </w:t>
            </w:r>
            <w:r w:rsidR="00BD71B7">
              <w:rPr>
                <w:lang w:val="en-GB"/>
              </w:rPr>
              <w:t>October 2025</w:t>
            </w:r>
          </w:p>
        </w:tc>
      </w:tr>
      <w:tr w:rsidR="003E09D1" w:rsidRPr="00FC5412" w14:paraId="0718E65E" w14:textId="77777777">
        <w:trPr>
          <w:trHeight w:val="232"/>
        </w:trPr>
        <w:tc>
          <w:tcPr>
            <w:tcW w:w="2746" w:type="dxa"/>
            <w:tcBorders>
              <w:top w:val="single" w:sz="8" w:space="0" w:color="FFFFFF"/>
              <w:left w:val="single" w:sz="8" w:space="0" w:color="FFFFFF"/>
              <w:bottom w:val="single" w:sz="8" w:space="0" w:color="FFFFFF"/>
              <w:right w:val="single" w:sz="8" w:space="0" w:color="FFFFFF"/>
            </w:tcBorders>
            <w:shd w:val="clear" w:color="auto" w:fill="D4CBE4"/>
          </w:tcPr>
          <w:p w14:paraId="781C1B84" w14:textId="77777777" w:rsidR="003E09D1" w:rsidRPr="00FC5412" w:rsidRDefault="001B0ACE">
            <w:pPr>
              <w:widowControl w:val="0"/>
              <w:rPr>
                <w:lang w:val="en-GB"/>
              </w:rPr>
            </w:pPr>
            <w:r w:rsidRPr="00FC5412">
              <w:rPr>
                <w:lang w:val="en-GB"/>
              </w:rPr>
              <w:t xml:space="preserve">Type </w:t>
            </w:r>
          </w:p>
        </w:tc>
        <w:tc>
          <w:tcPr>
            <w:tcW w:w="6896" w:type="dxa"/>
            <w:tcBorders>
              <w:top w:val="single" w:sz="8" w:space="0" w:color="FFFFFF"/>
              <w:left w:val="single" w:sz="8" w:space="0" w:color="FFFFFF"/>
              <w:bottom w:val="single" w:sz="8" w:space="0" w:color="FFFFFF"/>
              <w:right w:val="single" w:sz="8" w:space="0" w:color="FFFFFF"/>
            </w:tcBorders>
            <w:shd w:val="clear" w:color="auto" w:fill="D4CBE4"/>
          </w:tcPr>
          <w:p w14:paraId="69589A00" w14:textId="5283E953" w:rsidR="003E09D1" w:rsidRPr="00AC03A5" w:rsidRDefault="00E86EC4" w:rsidP="00E91FD5">
            <w:pPr>
              <w:widowControl w:val="0"/>
              <w:jc w:val="both"/>
              <w:rPr>
                <w:lang w:val="en-IT"/>
              </w:rPr>
            </w:pPr>
            <w:r>
              <w:rPr>
                <w:lang w:val="en-IT"/>
              </w:rPr>
              <w:t>DEC – Websites, patent filings, video,</w:t>
            </w:r>
            <w:r w:rsidR="0089675E">
              <w:rPr>
                <w:lang w:val="en-IT"/>
              </w:rPr>
              <w:t xml:space="preserve"> presentations,</w:t>
            </w:r>
            <w:r>
              <w:rPr>
                <w:lang w:val="en-IT"/>
              </w:rPr>
              <w:t xml:space="preserve"> etc</w:t>
            </w:r>
          </w:p>
        </w:tc>
      </w:tr>
      <w:tr w:rsidR="003E09D1" w:rsidRPr="00FC5412" w14:paraId="7EA51693" w14:textId="77777777">
        <w:trPr>
          <w:trHeight w:val="288"/>
        </w:trPr>
        <w:tc>
          <w:tcPr>
            <w:tcW w:w="2746" w:type="dxa"/>
            <w:tcBorders>
              <w:top w:val="single" w:sz="8" w:space="0" w:color="FFFFFF"/>
              <w:left w:val="single" w:sz="8" w:space="0" w:color="FFFFFF"/>
              <w:bottom w:val="single" w:sz="8" w:space="0" w:color="FFFFFF"/>
              <w:right w:val="single" w:sz="8" w:space="0" w:color="FFFFFF"/>
            </w:tcBorders>
            <w:shd w:val="clear" w:color="auto" w:fill="D4CBE4"/>
          </w:tcPr>
          <w:p w14:paraId="614A5AFF" w14:textId="77777777" w:rsidR="003E09D1" w:rsidRPr="00FC5412" w:rsidRDefault="001B0ACE">
            <w:pPr>
              <w:widowControl w:val="0"/>
              <w:rPr>
                <w:lang w:val="en-GB"/>
              </w:rPr>
            </w:pPr>
            <w:r w:rsidRPr="00FC5412">
              <w:rPr>
                <w:lang w:val="en-GB"/>
              </w:rPr>
              <w:t>Dissemination Level</w:t>
            </w:r>
          </w:p>
        </w:tc>
        <w:tc>
          <w:tcPr>
            <w:tcW w:w="6896" w:type="dxa"/>
            <w:tcBorders>
              <w:top w:val="single" w:sz="8" w:space="0" w:color="FFFFFF"/>
              <w:left w:val="single" w:sz="8" w:space="0" w:color="FFFFFF"/>
              <w:bottom w:val="single" w:sz="8" w:space="0" w:color="FFFFFF"/>
              <w:right w:val="single" w:sz="8" w:space="0" w:color="FFFFFF"/>
            </w:tcBorders>
            <w:shd w:val="clear" w:color="auto" w:fill="D4CBE4"/>
          </w:tcPr>
          <w:p w14:paraId="7C91C0F9" w14:textId="0F5E4ACC" w:rsidR="003E09D1" w:rsidRPr="00FC5412" w:rsidRDefault="007074EC" w:rsidP="00E91FD5">
            <w:pPr>
              <w:widowControl w:val="0"/>
              <w:jc w:val="both"/>
              <w:rPr>
                <w:lang w:val="en-GB"/>
              </w:rPr>
            </w:pPr>
            <w:r w:rsidRPr="00DB09DB">
              <w:rPr>
                <w:lang w:val="en-GB"/>
              </w:rPr>
              <w:t>PU – Public</w:t>
            </w:r>
          </w:p>
        </w:tc>
      </w:tr>
      <w:tr w:rsidR="003E09D1" w:rsidRPr="00FC5412" w14:paraId="4CD20A92" w14:textId="77777777">
        <w:trPr>
          <w:trHeight w:val="302"/>
        </w:trPr>
        <w:tc>
          <w:tcPr>
            <w:tcW w:w="2746" w:type="dxa"/>
            <w:tcBorders>
              <w:top w:val="single" w:sz="8" w:space="0" w:color="FFFFFF"/>
              <w:left w:val="single" w:sz="8" w:space="0" w:color="FFFFFF"/>
              <w:bottom w:val="single" w:sz="8" w:space="0" w:color="FFFFFF"/>
              <w:right w:val="single" w:sz="8" w:space="0" w:color="FFFFFF"/>
            </w:tcBorders>
            <w:shd w:val="clear" w:color="auto" w:fill="D4CBE4"/>
          </w:tcPr>
          <w:p w14:paraId="1E600B00" w14:textId="77777777" w:rsidR="003E09D1" w:rsidRPr="00FC5412" w:rsidRDefault="001B0ACE">
            <w:pPr>
              <w:widowControl w:val="0"/>
              <w:rPr>
                <w:lang w:val="en-GB"/>
              </w:rPr>
            </w:pPr>
            <w:r w:rsidRPr="00FC5412">
              <w:rPr>
                <w:lang w:val="en-GB"/>
              </w:rPr>
              <w:t>Keywords</w:t>
            </w:r>
          </w:p>
        </w:tc>
        <w:tc>
          <w:tcPr>
            <w:tcW w:w="6896" w:type="dxa"/>
            <w:tcBorders>
              <w:top w:val="single" w:sz="8" w:space="0" w:color="FFFFFF"/>
              <w:left w:val="single" w:sz="8" w:space="0" w:color="FFFFFF"/>
              <w:bottom w:val="single" w:sz="8" w:space="0" w:color="FFFFFF"/>
              <w:right w:val="single" w:sz="8" w:space="0" w:color="FFFFFF"/>
            </w:tcBorders>
            <w:shd w:val="clear" w:color="auto" w:fill="D4CBE4"/>
          </w:tcPr>
          <w:p w14:paraId="6592D3BE" w14:textId="3B496CA9" w:rsidR="003E09D1" w:rsidRPr="00FC5412" w:rsidRDefault="00BD71B7" w:rsidP="00E91FD5">
            <w:pPr>
              <w:widowControl w:val="0"/>
              <w:jc w:val="both"/>
              <w:rPr>
                <w:lang w:val="en-GB"/>
              </w:rPr>
            </w:pPr>
            <w:r w:rsidRPr="00DB09DB">
              <w:rPr>
                <w:lang w:val="en-GB"/>
              </w:rPr>
              <w:t>Pay, gender pay gap, gender wage gap, gender pay inequalities, equal pay, pay equity, equal pay for equal work, pay inequality, root causes,</w:t>
            </w:r>
            <w:r>
              <w:rPr>
                <w:lang w:val="en-GB"/>
              </w:rPr>
              <w:t xml:space="preserve"> gender, gender bias,</w:t>
            </w:r>
            <w:r w:rsidRPr="00DB09DB">
              <w:rPr>
                <w:lang w:val="en-GB"/>
              </w:rPr>
              <w:t xml:space="preserve"> pay discrimination, workplace, organisational culture, occupational segregation, intersectionality, discriminatory pay practices,</w:t>
            </w:r>
            <w:r>
              <w:rPr>
                <w:lang w:val="en-GB"/>
              </w:rPr>
              <w:t xml:space="preserve"> </w:t>
            </w:r>
            <w:r w:rsidRPr="00DB09DB">
              <w:rPr>
                <w:lang w:val="en-GB"/>
              </w:rPr>
              <w:t>transparency,</w:t>
            </w:r>
            <w:r>
              <w:rPr>
                <w:lang w:val="en-GB"/>
              </w:rPr>
              <w:t xml:space="preserve"> pay transparency, EU Pay Transparency Directive,</w:t>
            </w:r>
            <w:r w:rsidRPr="00DB09DB">
              <w:rPr>
                <w:lang w:val="en-GB"/>
              </w:rPr>
              <w:t xml:space="preserve"> pay reporting obligations, recruitment, retention, promotion, gender-sensitive workplace culture, EU law, national law, Europe, UK, South Africa, </w:t>
            </w:r>
            <w:r>
              <w:rPr>
                <w:lang w:val="en-GB"/>
              </w:rPr>
              <w:t>good</w:t>
            </w:r>
            <w:r w:rsidRPr="00DB09DB">
              <w:rPr>
                <w:lang w:val="en-GB"/>
              </w:rPr>
              <w:t xml:space="preserve"> practices</w:t>
            </w:r>
          </w:p>
        </w:tc>
      </w:tr>
    </w:tbl>
    <w:p w14:paraId="30EC681E" w14:textId="7A1659AE" w:rsidR="003E09D1" w:rsidRDefault="003E09D1">
      <w:pPr>
        <w:rPr>
          <w:lang w:val="en-GB"/>
        </w:rPr>
      </w:pPr>
    </w:p>
    <w:p w14:paraId="07E21002" w14:textId="77777777" w:rsidR="00BD71B7" w:rsidRDefault="00BD71B7">
      <w:pPr>
        <w:rPr>
          <w:lang w:val="en-GB"/>
        </w:rPr>
      </w:pPr>
    </w:p>
    <w:p w14:paraId="6577D167" w14:textId="77777777" w:rsidR="00BD71B7" w:rsidRDefault="00BD71B7">
      <w:pPr>
        <w:rPr>
          <w:lang w:val="en-GB"/>
        </w:rPr>
      </w:pPr>
    </w:p>
    <w:p w14:paraId="390BB733" w14:textId="77777777" w:rsidR="00BD71B7" w:rsidRDefault="00BD71B7">
      <w:pPr>
        <w:rPr>
          <w:lang w:val="en-GB"/>
        </w:rPr>
      </w:pPr>
    </w:p>
    <w:p w14:paraId="71D9C77F" w14:textId="77777777" w:rsidR="00BD71B7" w:rsidRDefault="00BD71B7">
      <w:pPr>
        <w:rPr>
          <w:lang w:val="en-GB"/>
        </w:rPr>
      </w:pPr>
    </w:p>
    <w:p w14:paraId="58992799" w14:textId="77777777" w:rsidR="00BD71B7" w:rsidRDefault="00BD71B7">
      <w:pPr>
        <w:rPr>
          <w:lang w:val="en-GB"/>
        </w:rPr>
      </w:pPr>
    </w:p>
    <w:p w14:paraId="024F03CC" w14:textId="77777777" w:rsidR="00BD71B7" w:rsidRDefault="00BD71B7">
      <w:pPr>
        <w:rPr>
          <w:lang w:val="en-GB"/>
        </w:rPr>
      </w:pPr>
    </w:p>
    <w:p w14:paraId="48CF92DD" w14:textId="77777777" w:rsidR="00BD71B7" w:rsidRDefault="00BD71B7">
      <w:pPr>
        <w:rPr>
          <w:lang w:val="en-GB"/>
        </w:rPr>
      </w:pPr>
    </w:p>
    <w:p w14:paraId="26668B24" w14:textId="77777777" w:rsidR="00BD71B7" w:rsidRDefault="00BD71B7">
      <w:pPr>
        <w:rPr>
          <w:lang w:val="en-GB"/>
        </w:rPr>
      </w:pPr>
    </w:p>
    <w:p w14:paraId="3585B949" w14:textId="77777777" w:rsidR="00BD71B7" w:rsidRDefault="00BD71B7">
      <w:pPr>
        <w:rPr>
          <w:lang w:val="en-GB"/>
        </w:rPr>
      </w:pPr>
    </w:p>
    <w:p w14:paraId="409928EB" w14:textId="77777777" w:rsidR="00097F8D" w:rsidRDefault="00097F8D" w:rsidP="009B6EA6">
      <w:pPr>
        <w:pStyle w:val="p1"/>
        <w:rPr>
          <w:rFonts w:ascii="Calibri" w:hAnsi="Calibri" w:cs="Calibri"/>
          <w:b/>
          <w:sz w:val="22"/>
          <w:szCs w:val="22"/>
          <w:lang w:val="en-GB"/>
        </w:rPr>
      </w:pPr>
    </w:p>
    <w:sdt>
      <w:sdtPr>
        <w:id w:val="-1551295444"/>
        <w:docPartObj>
          <w:docPartGallery w:val="Table of Contents"/>
          <w:docPartUnique/>
        </w:docPartObj>
      </w:sdtPr>
      <w:sdtEndPr>
        <w:rPr>
          <w:b/>
          <w:bCs/>
          <w:noProof/>
        </w:rPr>
      </w:sdtEndPr>
      <w:sdtContent>
        <w:p w14:paraId="5757FB0E" w14:textId="0863AEE7" w:rsidR="00A76941" w:rsidRDefault="00020DBF" w:rsidP="00020DBF">
          <w:pPr>
            <w:jc w:val="both"/>
            <w:rPr>
              <w:rFonts w:ascii="Calibri" w:eastAsia="Calibri" w:hAnsi="Calibri" w:cs="Calibri"/>
              <w:b/>
              <w:color w:val="7731D8"/>
              <w:sz w:val="52"/>
              <w:szCs w:val="52"/>
              <w:lang w:val="en-GB"/>
            </w:rPr>
          </w:pPr>
          <w:r w:rsidRPr="00AF4EBD">
            <w:rPr>
              <w:rFonts w:ascii="Calibri" w:eastAsia="Calibri" w:hAnsi="Calibri" w:cs="Calibri"/>
              <w:b/>
              <w:color w:val="7731D8"/>
              <w:sz w:val="52"/>
              <w:szCs w:val="52"/>
              <w:lang w:val="en-GB"/>
            </w:rPr>
            <w:t>Table of Content</w:t>
          </w:r>
          <w:r>
            <w:rPr>
              <w:rFonts w:ascii="Calibri" w:eastAsia="Calibri" w:hAnsi="Calibri" w:cs="Calibri"/>
              <w:b/>
              <w:color w:val="7731D8"/>
              <w:sz w:val="52"/>
              <w:szCs w:val="52"/>
              <w:lang w:val="en-GB"/>
            </w:rPr>
            <w:t>s</w:t>
          </w:r>
        </w:p>
        <w:p w14:paraId="36082547" w14:textId="77777777" w:rsidR="00A76941" w:rsidRPr="00A76941" w:rsidRDefault="00A76941" w:rsidP="00020DBF">
          <w:pPr>
            <w:jc w:val="both"/>
            <w:rPr>
              <w:rFonts w:ascii="Calibri" w:eastAsia="Calibri" w:hAnsi="Calibri" w:cs="Calibri"/>
              <w:b/>
              <w:color w:val="7731D8"/>
              <w:lang w:val="en-GB"/>
            </w:rPr>
          </w:pPr>
        </w:p>
        <w:p w14:paraId="7425ECDA" w14:textId="306363FA" w:rsidR="00020DBF" w:rsidRPr="00A76941" w:rsidRDefault="00020DBF">
          <w:pPr>
            <w:pStyle w:val="TOC1"/>
            <w:tabs>
              <w:tab w:val="right" w:pos="9628"/>
            </w:tabs>
            <w:rPr>
              <w:rFonts w:eastAsiaTheme="minorEastAsia" w:cstheme="minorBidi"/>
              <w:b w:val="0"/>
              <w:bCs w:val="0"/>
              <w:caps w:val="0"/>
              <w:noProof/>
              <w:sz w:val="22"/>
              <w:szCs w:val="22"/>
              <w:lang w:val="en-IT" w:eastAsia="ko-KR" w:bidi="ar-SA"/>
              <w14:ligatures w14:val="standardContextual"/>
            </w:rPr>
          </w:pPr>
          <w:r w:rsidRPr="00A76941">
            <w:rPr>
              <w:b w:val="0"/>
              <w:bCs w:val="0"/>
              <w:sz w:val="24"/>
              <w:szCs w:val="24"/>
            </w:rPr>
            <w:fldChar w:fldCharType="begin"/>
          </w:r>
          <w:r w:rsidRPr="00A76941">
            <w:rPr>
              <w:sz w:val="24"/>
              <w:szCs w:val="24"/>
            </w:rPr>
            <w:instrText xml:space="preserve"> TOC \o "1-3" \h \z \u </w:instrText>
          </w:r>
          <w:r w:rsidRPr="00A76941">
            <w:rPr>
              <w:b w:val="0"/>
              <w:bCs w:val="0"/>
              <w:sz w:val="24"/>
              <w:szCs w:val="24"/>
            </w:rPr>
            <w:fldChar w:fldCharType="separate"/>
          </w:r>
          <w:hyperlink w:anchor="_Toc211587519" w:history="1">
            <w:r w:rsidRPr="00A76941">
              <w:rPr>
                <w:rStyle w:val="Hyperlink"/>
                <w:noProof/>
                <w:sz w:val="22"/>
                <w:szCs w:val="22"/>
              </w:rPr>
              <w:t>Executive Summary</w:t>
            </w:r>
            <w:r w:rsidRPr="00A76941">
              <w:rPr>
                <w:noProof/>
                <w:webHidden/>
                <w:sz w:val="22"/>
                <w:szCs w:val="22"/>
              </w:rPr>
              <w:tab/>
            </w:r>
            <w:r w:rsidRPr="00A76941">
              <w:rPr>
                <w:noProof/>
                <w:webHidden/>
                <w:sz w:val="22"/>
                <w:szCs w:val="22"/>
              </w:rPr>
              <w:fldChar w:fldCharType="begin"/>
            </w:r>
            <w:r w:rsidRPr="00A76941">
              <w:rPr>
                <w:noProof/>
                <w:webHidden/>
                <w:sz w:val="22"/>
                <w:szCs w:val="22"/>
              </w:rPr>
              <w:instrText xml:space="preserve"> PAGEREF _Toc211587519 \h </w:instrText>
            </w:r>
            <w:r w:rsidRPr="00A76941">
              <w:rPr>
                <w:noProof/>
                <w:webHidden/>
                <w:sz w:val="22"/>
                <w:szCs w:val="22"/>
              </w:rPr>
            </w:r>
            <w:r w:rsidRPr="00A76941">
              <w:rPr>
                <w:noProof/>
                <w:webHidden/>
                <w:sz w:val="22"/>
                <w:szCs w:val="22"/>
              </w:rPr>
              <w:fldChar w:fldCharType="separate"/>
            </w:r>
            <w:r w:rsidRPr="00A76941">
              <w:rPr>
                <w:noProof/>
                <w:webHidden/>
                <w:sz w:val="22"/>
                <w:szCs w:val="22"/>
              </w:rPr>
              <w:t>4</w:t>
            </w:r>
            <w:r w:rsidRPr="00A76941">
              <w:rPr>
                <w:noProof/>
                <w:webHidden/>
                <w:sz w:val="22"/>
                <w:szCs w:val="22"/>
              </w:rPr>
              <w:fldChar w:fldCharType="end"/>
            </w:r>
          </w:hyperlink>
        </w:p>
        <w:p w14:paraId="6DFC5650" w14:textId="4BA4A90C" w:rsidR="00020DBF" w:rsidRPr="00A76941" w:rsidRDefault="00020DBF">
          <w:pPr>
            <w:pStyle w:val="TOC1"/>
            <w:tabs>
              <w:tab w:val="right" w:pos="9628"/>
            </w:tabs>
            <w:rPr>
              <w:rFonts w:eastAsiaTheme="minorEastAsia" w:cstheme="minorBidi"/>
              <w:b w:val="0"/>
              <w:bCs w:val="0"/>
              <w:caps w:val="0"/>
              <w:noProof/>
              <w:sz w:val="22"/>
              <w:szCs w:val="22"/>
              <w:lang w:val="en-IT" w:eastAsia="ko-KR" w:bidi="ar-SA"/>
              <w14:ligatures w14:val="standardContextual"/>
            </w:rPr>
          </w:pPr>
          <w:hyperlink w:anchor="_Toc211587520" w:history="1">
            <w:r w:rsidRPr="00A76941">
              <w:rPr>
                <w:rStyle w:val="Hyperlink"/>
                <w:noProof/>
                <w:sz w:val="22"/>
                <w:szCs w:val="22"/>
              </w:rPr>
              <w:t>List of Abbreviations</w:t>
            </w:r>
            <w:r w:rsidRPr="00A76941">
              <w:rPr>
                <w:noProof/>
                <w:webHidden/>
                <w:sz w:val="22"/>
                <w:szCs w:val="22"/>
              </w:rPr>
              <w:tab/>
            </w:r>
            <w:r w:rsidRPr="00A76941">
              <w:rPr>
                <w:noProof/>
                <w:webHidden/>
                <w:sz w:val="22"/>
                <w:szCs w:val="22"/>
              </w:rPr>
              <w:fldChar w:fldCharType="begin"/>
            </w:r>
            <w:r w:rsidRPr="00A76941">
              <w:rPr>
                <w:noProof/>
                <w:webHidden/>
                <w:sz w:val="22"/>
                <w:szCs w:val="22"/>
              </w:rPr>
              <w:instrText xml:space="preserve"> PAGEREF _Toc211587520 \h </w:instrText>
            </w:r>
            <w:r w:rsidRPr="00A76941">
              <w:rPr>
                <w:noProof/>
                <w:webHidden/>
                <w:sz w:val="22"/>
                <w:szCs w:val="22"/>
              </w:rPr>
            </w:r>
            <w:r w:rsidRPr="00A76941">
              <w:rPr>
                <w:noProof/>
                <w:webHidden/>
                <w:sz w:val="22"/>
                <w:szCs w:val="22"/>
              </w:rPr>
              <w:fldChar w:fldCharType="separate"/>
            </w:r>
            <w:r w:rsidRPr="00A76941">
              <w:rPr>
                <w:noProof/>
                <w:webHidden/>
                <w:sz w:val="22"/>
                <w:szCs w:val="22"/>
              </w:rPr>
              <w:t>6</w:t>
            </w:r>
            <w:r w:rsidRPr="00A76941">
              <w:rPr>
                <w:noProof/>
                <w:webHidden/>
                <w:sz w:val="22"/>
                <w:szCs w:val="22"/>
              </w:rPr>
              <w:fldChar w:fldCharType="end"/>
            </w:r>
          </w:hyperlink>
        </w:p>
        <w:p w14:paraId="0488234B" w14:textId="25E22EAE" w:rsidR="00020DBF" w:rsidRPr="00A76941" w:rsidRDefault="00020DBF">
          <w:pPr>
            <w:pStyle w:val="TOC1"/>
            <w:tabs>
              <w:tab w:val="right" w:pos="9628"/>
            </w:tabs>
            <w:rPr>
              <w:rFonts w:eastAsiaTheme="minorEastAsia" w:cstheme="minorBidi"/>
              <w:b w:val="0"/>
              <w:bCs w:val="0"/>
              <w:caps w:val="0"/>
              <w:noProof/>
              <w:sz w:val="22"/>
              <w:szCs w:val="22"/>
              <w:lang w:val="en-IT" w:eastAsia="ko-KR" w:bidi="ar-SA"/>
              <w14:ligatures w14:val="standardContextual"/>
            </w:rPr>
          </w:pPr>
          <w:hyperlink w:anchor="_Toc211587521" w:history="1">
            <w:r w:rsidRPr="00A76941">
              <w:rPr>
                <w:rStyle w:val="Hyperlink"/>
                <w:noProof/>
                <w:sz w:val="22"/>
                <w:szCs w:val="22"/>
              </w:rPr>
              <w:t>1.Introduction</w:t>
            </w:r>
            <w:r w:rsidRPr="00A76941">
              <w:rPr>
                <w:noProof/>
                <w:webHidden/>
                <w:sz w:val="22"/>
                <w:szCs w:val="22"/>
              </w:rPr>
              <w:tab/>
            </w:r>
            <w:r w:rsidRPr="00A76941">
              <w:rPr>
                <w:noProof/>
                <w:webHidden/>
                <w:sz w:val="22"/>
                <w:szCs w:val="22"/>
              </w:rPr>
              <w:fldChar w:fldCharType="begin"/>
            </w:r>
            <w:r w:rsidRPr="00A76941">
              <w:rPr>
                <w:noProof/>
                <w:webHidden/>
                <w:sz w:val="22"/>
                <w:szCs w:val="22"/>
              </w:rPr>
              <w:instrText xml:space="preserve"> PAGEREF _Toc211587521 \h </w:instrText>
            </w:r>
            <w:r w:rsidRPr="00A76941">
              <w:rPr>
                <w:noProof/>
                <w:webHidden/>
                <w:sz w:val="22"/>
                <w:szCs w:val="22"/>
              </w:rPr>
            </w:r>
            <w:r w:rsidRPr="00A76941">
              <w:rPr>
                <w:noProof/>
                <w:webHidden/>
                <w:sz w:val="22"/>
                <w:szCs w:val="22"/>
              </w:rPr>
              <w:fldChar w:fldCharType="separate"/>
            </w:r>
            <w:r w:rsidRPr="00A76941">
              <w:rPr>
                <w:noProof/>
                <w:webHidden/>
                <w:sz w:val="22"/>
                <w:szCs w:val="22"/>
              </w:rPr>
              <w:t>7</w:t>
            </w:r>
            <w:r w:rsidRPr="00A76941">
              <w:rPr>
                <w:noProof/>
                <w:webHidden/>
                <w:sz w:val="22"/>
                <w:szCs w:val="22"/>
              </w:rPr>
              <w:fldChar w:fldCharType="end"/>
            </w:r>
          </w:hyperlink>
        </w:p>
        <w:p w14:paraId="75BE9AD5" w14:textId="470A93A7" w:rsidR="00020DBF" w:rsidRPr="00A76941" w:rsidRDefault="00020DBF">
          <w:pPr>
            <w:pStyle w:val="TOC1"/>
            <w:tabs>
              <w:tab w:val="right" w:pos="9628"/>
            </w:tabs>
            <w:rPr>
              <w:rFonts w:eastAsiaTheme="minorEastAsia" w:cstheme="minorBidi"/>
              <w:b w:val="0"/>
              <w:bCs w:val="0"/>
              <w:caps w:val="0"/>
              <w:noProof/>
              <w:sz w:val="22"/>
              <w:szCs w:val="22"/>
              <w:lang w:val="en-IT" w:eastAsia="ko-KR" w:bidi="ar-SA"/>
              <w14:ligatures w14:val="standardContextual"/>
            </w:rPr>
          </w:pPr>
          <w:hyperlink w:anchor="_Toc211587522" w:history="1">
            <w:r w:rsidRPr="00A76941">
              <w:rPr>
                <w:rStyle w:val="Hyperlink"/>
                <w:noProof/>
                <w:sz w:val="22"/>
                <w:szCs w:val="22"/>
              </w:rPr>
              <w:t>2.Methodology</w:t>
            </w:r>
            <w:r w:rsidRPr="00A76941">
              <w:rPr>
                <w:noProof/>
                <w:webHidden/>
                <w:sz w:val="22"/>
                <w:szCs w:val="22"/>
              </w:rPr>
              <w:tab/>
            </w:r>
            <w:r w:rsidRPr="00A76941">
              <w:rPr>
                <w:noProof/>
                <w:webHidden/>
                <w:sz w:val="22"/>
                <w:szCs w:val="22"/>
              </w:rPr>
              <w:fldChar w:fldCharType="begin"/>
            </w:r>
            <w:r w:rsidRPr="00A76941">
              <w:rPr>
                <w:noProof/>
                <w:webHidden/>
                <w:sz w:val="22"/>
                <w:szCs w:val="22"/>
              </w:rPr>
              <w:instrText xml:space="preserve"> PAGEREF _Toc211587522 \h </w:instrText>
            </w:r>
            <w:r w:rsidRPr="00A76941">
              <w:rPr>
                <w:noProof/>
                <w:webHidden/>
                <w:sz w:val="22"/>
                <w:szCs w:val="22"/>
              </w:rPr>
            </w:r>
            <w:r w:rsidRPr="00A76941">
              <w:rPr>
                <w:noProof/>
                <w:webHidden/>
                <w:sz w:val="22"/>
                <w:szCs w:val="22"/>
              </w:rPr>
              <w:fldChar w:fldCharType="separate"/>
            </w:r>
            <w:r w:rsidRPr="00A76941">
              <w:rPr>
                <w:noProof/>
                <w:webHidden/>
                <w:sz w:val="22"/>
                <w:szCs w:val="22"/>
              </w:rPr>
              <w:t>8</w:t>
            </w:r>
            <w:r w:rsidRPr="00A76941">
              <w:rPr>
                <w:noProof/>
                <w:webHidden/>
                <w:sz w:val="22"/>
                <w:szCs w:val="22"/>
              </w:rPr>
              <w:fldChar w:fldCharType="end"/>
            </w:r>
          </w:hyperlink>
        </w:p>
        <w:p w14:paraId="2C46CC20" w14:textId="58592A85" w:rsidR="00020DBF" w:rsidRPr="00A76941" w:rsidRDefault="00020DBF">
          <w:pPr>
            <w:pStyle w:val="TOC1"/>
            <w:tabs>
              <w:tab w:val="right" w:pos="9628"/>
            </w:tabs>
            <w:rPr>
              <w:rFonts w:eastAsiaTheme="minorEastAsia" w:cstheme="minorBidi"/>
              <w:b w:val="0"/>
              <w:bCs w:val="0"/>
              <w:caps w:val="0"/>
              <w:noProof/>
              <w:sz w:val="22"/>
              <w:szCs w:val="22"/>
              <w:lang w:val="en-IT" w:eastAsia="ko-KR" w:bidi="ar-SA"/>
              <w14:ligatures w14:val="standardContextual"/>
            </w:rPr>
          </w:pPr>
          <w:hyperlink w:anchor="_Toc211587523" w:history="1">
            <w:r w:rsidRPr="00A76941">
              <w:rPr>
                <w:rStyle w:val="Hyperlink"/>
                <w:noProof/>
                <w:sz w:val="22"/>
                <w:szCs w:val="22"/>
              </w:rPr>
              <w:t>2.1 Alignment with the RE-WIRING Transformative Equality Approach Methodology</w:t>
            </w:r>
            <w:r w:rsidRPr="00A76941">
              <w:rPr>
                <w:noProof/>
                <w:webHidden/>
                <w:sz w:val="22"/>
                <w:szCs w:val="22"/>
              </w:rPr>
              <w:tab/>
            </w:r>
            <w:r w:rsidRPr="00A76941">
              <w:rPr>
                <w:noProof/>
                <w:webHidden/>
                <w:sz w:val="22"/>
                <w:szCs w:val="22"/>
              </w:rPr>
              <w:fldChar w:fldCharType="begin"/>
            </w:r>
            <w:r w:rsidRPr="00A76941">
              <w:rPr>
                <w:noProof/>
                <w:webHidden/>
                <w:sz w:val="22"/>
                <w:szCs w:val="22"/>
              </w:rPr>
              <w:instrText xml:space="preserve"> PAGEREF _Toc211587523 \h </w:instrText>
            </w:r>
            <w:r w:rsidRPr="00A76941">
              <w:rPr>
                <w:noProof/>
                <w:webHidden/>
                <w:sz w:val="22"/>
                <w:szCs w:val="22"/>
              </w:rPr>
            </w:r>
            <w:r w:rsidRPr="00A76941">
              <w:rPr>
                <w:noProof/>
                <w:webHidden/>
                <w:sz w:val="22"/>
                <w:szCs w:val="22"/>
              </w:rPr>
              <w:fldChar w:fldCharType="separate"/>
            </w:r>
            <w:r w:rsidRPr="00A76941">
              <w:rPr>
                <w:noProof/>
                <w:webHidden/>
                <w:sz w:val="22"/>
                <w:szCs w:val="22"/>
              </w:rPr>
              <w:t>9</w:t>
            </w:r>
            <w:r w:rsidRPr="00A76941">
              <w:rPr>
                <w:noProof/>
                <w:webHidden/>
                <w:sz w:val="22"/>
                <w:szCs w:val="22"/>
              </w:rPr>
              <w:fldChar w:fldCharType="end"/>
            </w:r>
          </w:hyperlink>
        </w:p>
        <w:p w14:paraId="3311ACEF" w14:textId="5E5013F0" w:rsidR="00020DBF" w:rsidRPr="00A76941" w:rsidRDefault="00020DBF">
          <w:pPr>
            <w:pStyle w:val="TOC1"/>
            <w:tabs>
              <w:tab w:val="right" w:pos="9628"/>
            </w:tabs>
            <w:rPr>
              <w:rFonts w:eastAsiaTheme="minorEastAsia" w:cstheme="minorBidi"/>
              <w:b w:val="0"/>
              <w:bCs w:val="0"/>
              <w:caps w:val="0"/>
              <w:noProof/>
              <w:sz w:val="22"/>
              <w:szCs w:val="22"/>
              <w:lang w:val="en-IT" w:eastAsia="ko-KR" w:bidi="ar-SA"/>
              <w14:ligatures w14:val="standardContextual"/>
            </w:rPr>
          </w:pPr>
          <w:hyperlink w:anchor="_Toc211587524" w:history="1">
            <w:r w:rsidRPr="00A76941">
              <w:rPr>
                <w:rStyle w:val="Hyperlink"/>
                <w:noProof/>
                <w:sz w:val="22"/>
                <w:szCs w:val="22"/>
              </w:rPr>
              <w:t>3.Understanding the Root Causes of the Gender Pay Gap: A Summary of Theoretical Frameworks</w:t>
            </w:r>
            <w:r w:rsidRPr="00A76941">
              <w:rPr>
                <w:noProof/>
                <w:webHidden/>
                <w:sz w:val="22"/>
                <w:szCs w:val="22"/>
              </w:rPr>
              <w:tab/>
            </w:r>
            <w:r w:rsidRPr="00A76941">
              <w:rPr>
                <w:noProof/>
                <w:webHidden/>
                <w:sz w:val="22"/>
                <w:szCs w:val="22"/>
              </w:rPr>
              <w:fldChar w:fldCharType="begin"/>
            </w:r>
            <w:r w:rsidRPr="00A76941">
              <w:rPr>
                <w:noProof/>
                <w:webHidden/>
                <w:sz w:val="22"/>
                <w:szCs w:val="22"/>
              </w:rPr>
              <w:instrText xml:space="preserve"> PAGEREF _Toc211587524 \h </w:instrText>
            </w:r>
            <w:r w:rsidRPr="00A76941">
              <w:rPr>
                <w:noProof/>
                <w:webHidden/>
                <w:sz w:val="22"/>
                <w:szCs w:val="22"/>
              </w:rPr>
            </w:r>
            <w:r w:rsidRPr="00A76941">
              <w:rPr>
                <w:noProof/>
                <w:webHidden/>
                <w:sz w:val="22"/>
                <w:szCs w:val="22"/>
              </w:rPr>
              <w:fldChar w:fldCharType="separate"/>
            </w:r>
            <w:r w:rsidRPr="00A76941">
              <w:rPr>
                <w:noProof/>
                <w:webHidden/>
                <w:sz w:val="22"/>
                <w:szCs w:val="22"/>
              </w:rPr>
              <w:t>12</w:t>
            </w:r>
            <w:r w:rsidRPr="00A76941">
              <w:rPr>
                <w:noProof/>
                <w:webHidden/>
                <w:sz w:val="22"/>
                <w:szCs w:val="22"/>
              </w:rPr>
              <w:fldChar w:fldCharType="end"/>
            </w:r>
          </w:hyperlink>
        </w:p>
        <w:p w14:paraId="48242756" w14:textId="179AFDD5" w:rsidR="00020DBF" w:rsidRPr="00A76941" w:rsidRDefault="00020DBF">
          <w:pPr>
            <w:pStyle w:val="TOC1"/>
            <w:tabs>
              <w:tab w:val="right" w:pos="9628"/>
            </w:tabs>
            <w:rPr>
              <w:rFonts w:eastAsiaTheme="minorEastAsia" w:cstheme="minorBidi"/>
              <w:b w:val="0"/>
              <w:bCs w:val="0"/>
              <w:caps w:val="0"/>
              <w:noProof/>
              <w:sz w:val="22"/>
              <w:szCs w:val="22"/>
              <w:lang w:val="en-IT" w:eastAsia="ko-KR" w:bidi="ar-SA"/>
              <w14:ligatures w14:val="standardContextual"/>
            </w:rPr>
          </w:pPr>
          <w:hyperlink w:anchor="_Toc211587525" w:history="1">
            <w:r w:rsidRPr="00A76941">
              <w:rPr>
                <w:rStyle w:val="Hyperlink"/>
                <w:noProof/>
                <w:sz w:val="22"/>
                <w:szCs w:val="22"/>
              </w:rPr>
              <w:t>4.Key Milestones and Equal Pay Policy Initiatives in Europe</w:t>
            </w:r>
            <w:r w:rsidRPr="00A76941">
              <w:rPr>
                <w:noProof/>
                <w:webHidden/>
                <w:sz w:val="22"/>
                <w:szCs w:val="22"/>
              </w:rPr>
              <w:tab/>
            </w:r>
            <w:r w:rsidRPr="00A76941">
              <w:rPr>
                <w:noProof/>
                <w:webHidden/>
                <w:sz w:val="22"/>
                <w:szCs w:val="22"/>
              </w:rPr>
              <w:fldChar w:fldCharType="begin"/>
            </w:r>
            <w:r w:rsidRPr="00A76941">
              <w:rPr>
                <w:noProof/>
                <w:webHidden/>
                <w:sz w:val="22"/>
                <w:szCs w:val="22"/>
              </w:rPr>
              <w:instrText xml:space="preserve"> PAGEREF _Toc211587525 \h </w:instrText>
            </w:r>
            <w:r w:rsidRPr="00A76941">
              <w:rPr>
                <w:noProof/>
                <w:webHidden/>
                <w:sz w:val="22"/>
                <w:szCs w:val="22"/>
              </w:rPr>
            </w:r>
            <w:r w:rsidRPr="00A76941">
              <w:rPr>
                <w:noProof/>
                <w:webHidden/>
                <w:sz w:val="22"/>
                <w:szCs w:val="22"/>
              </w:rPr>
              <w:fldChar w:fldCharType="separate"/>
            </w:r>
            <w:r w:rsidRPr="00A76941">
              <w:rPr>
                <w:noProof/>
                <w:webHidden/>
                <w:sz w:val="22"/>
                <w:szCs w:val="22"/>
              </w:rPr>
              <w:t>15</w:t>
            </w:r>
            <w:r w:rsidRPr="00A76941">
              <w:rPr>
                <w:noProof/>
                <w:webHidden/>
                <w:sz w:val="22"/>
                <w:szCs w:val="22"/>
              </w:rPr>
              <w:fldChar w:fldCharType="end"/>
            </w:r>
          </w:hyperlink>
        </w:p>
        <w:p w14:paraId="2E05F844" w14:textId="5330E424" w:rsidR="00020DBF" w:rsidRPr="00A76941" w:rsidRDefault="00020DBF">
          <w:pPr>
            <w:pStyle w:val="TOC1"/>
            <w:tabs>
              <w:tab w:val="right" w:pos="9628"/>
            </w:tabs>
            <w:rPr>
              <w:rFonts w:eastAsiaTheme="minorEastAsia" w:cstheme="minorBidi"/>
              <w:b w:val="0"/>
              <w:bCs w:val="0"/>
              <w:caps w:val="0"/>
              <w:noProof/>
              <w:sz w:val="22"/>
              <w:szCs w:val="22"/>
              <w:lang w:val="en-IT" w:eastAsia="ko-KR" w:bidi="ar-SA"/>
              <w14:ligatures w14:val="standardContextual"/>
            </w:rPr>
          </w:pPr>
          <w:hyperlink w:anchor="_Toc211587526" w:history="1">
            <w:r w:rsidRPr="00A76941">
              <w:rPr>
                <w:rStyle w:val="Hyperlink"/>
                <w:noProof/>
                <w:sz w:val="22"/>
                <w:szCs w:val="22"/>
              </w:rPr>
              <w:t>4.1 Key Milestones and Equal Pay Policy Initiatives in South Africa</w:t>
            </w:r>
            <w:r w:rsidRPr="00A76941">
              <w:rPr>
                <w:noProof/>
                <w:webHidden/>
                <w:sz w:val="22"/>
                <w:szCs w:val="22"/>
              </w:rPr>
              <w:tab/>
            </w:r>
            <w:r w:rsidRPr="00A76941">
              <w:rPr>
                <w:noProof/>
                <w:webHidden/>
                <w:sz w:val="22"/>
                <w:szCs w:val="22"/>
              </w:rPr>
              <w:fldChar w:fldCharType="begin"/>
            </w:r>
            <w:r w:rsidRPr="00A76941">
              <w:rPr>
                <w:noProof/>
                <w:webHidden/>
                <w:sz w:val="22"/>
                <w:szCs w:val="22"/>
              </w:rPr>
              <w:instrText xml:space="preserve"> PAGEREF _Toc211587526 \h </w:instrText>
            </w:r>
            <w:r w:rsidRPr="00A76941">
              <w:rPr>
                <w:noProof/>
                <w:webHidden/>
                <w:sz w:val="22"/>
                <w:szCs w:val="22"/>
              </w:rPr>
            </w:r>
            <w:r w:rsidRPr="00A76941">
              <w:rPr>
                <w:noProof/>
                <w:webHidden/>
                <w:sz w:val="22"/>
                <w:szCs w:val="22"/>
              </w:rPr>
              <w:fldChar w:fldCharType="separate"/>
            </w:r>
            <w:r w:rsidRPr="00A76941">
              <w:rPr>
                <w:noProof/>
                <w:webHidden/>
                <w:sz w:val="22"/>
                <w:szCs w:val="22"/>
              </w:rPr>
              <w:t>18</w:t>
            </w:r>
            <w:r w:rsidRPr="00A76941">
              <w:rPr>
                <w:noProof/>
                <w:webHidden/>
                <w:sz w:val="22"/>
                <w:szCs w:val="22"/>
              </w:rPr>
              <w:fldChar w:fldCharType="end"/>
            </w:r>
          </w:hyperlink>
        </w:p>
        <w:p w14:paraId="3612235E" w14:textId="0239D743" w:rsidR="00020DBF" w:rsidRPr="00A76941" w:rsidRDefault="00020DBF">
          <w:pPr>
            <w:pStyle w:val="TOC1"/>
            <w:tabs>
              <w:tab w:val="right" w:pos="9628"/>
            </w:tabs>
            <w:rPr>
              <w:rFonts w:eastAsiaTheme="minorEastAsia" w:cstheme="minorBidi"/>
              <w:b w:val="0"/>
              <w:bCs w:val="0"/>
              <w:caps w:val="0"/>
              <w:noProof/>
              <w:sz w:val="22"/>
              <w:szCs w:val="22"/>
              <w:lang w:val="en-IT" w:eastAsia="ko-KR" w:bidi="ar-SA"/>
              <w14:ligatures w14:val="standardContextual"/>
            </w:rPr>
          </w:pPr>
          <w:hyperlink w:anchor="_Toc211587527" w:history="1">
            <w:r w:rsidRPr="00A76941">
              <w:rPr>
                <w:rStyle w:val="Hyperlink"/>
                <w:noProof/>
                <w:sz w:val="22"/>
                <w:szCs w:val="22"/>
              </w:rPr>
              <w:t>5.The qualitative phase of the research and the identification of effective transformative action</w:t>
            </w:r>
            <w:r w:rsidR="00A76941" w:rsidRPr="00A76941">
              <w:rPr>
                <w:rStyle w:val="Hyperlink"/>
                <w:noProof/>
                <w:sz w:val="22"/>
                <w:szCs w:val="22"/>
              </w:rPr>
              <w:t>s</w:t>
            </w:r>
            <w:r w:rsidRPr="00A76941">
              <w:rPr>
                <w:noProof/>
                <w:webHidden/>
                <w:sz w:val="22"/>
                <w:szCs w:val="22"/>
              </w:rPr>
              <w:tab/>
            </w:r>
            <w:r w:rsidRPr="00A76941">
              <w:rPr>
                <w:noProof/>
                <w:webHidden/>
                <w:sz w:val="22"/>
                <w:szCs w:val="22"/>
              </w:rPr>
              <w:fldChar w:fldCharType="begin"/>
            </w:r>
            <w:r w:rsidRPr="00A76941">
              <w:rPr>
                <w:noProof/>
                <w:webHidden/>
                <w:sz w:val="22"/>
                <w:szCs w:val="22"/>
              </w:rPr>
              <w:instrText xml:space="preserve"> PAGEREF _Toc211587527 \h </w:instrText>
            </w:r>
            <w:r w:rsidRPr="00A76941">
              <w:rPr>
                <w:noProof/>
                <w:webHidden/>
                <w:sz w:val="22"/>
                <w:szCs w:val="22"/>
              </w:rPr>
            </w:r>
            <w:r w:rsidRPr="00A76941">
              <w:rPr>
                <w:noProof/>
                <w:webHidden/>
                <w:sz w:val="22"/>
                <w:szCs w:val="22"/>
              </w:rPr>
              <w:fldChar w:fldCharType="separate"/>
            </w:r>
            <w:r w:rsidRPr="00A76941">
              <w:rPr>
                <w:noProof/>
                <w:webHidden/>
                <w:sz w:val="22"/>
                <w:szCs w:val="22"/>
              </w:rPr>
              <w:t>20</w:t>
            </w:r>
            <w:r w:rsidRPr="00A76941">
              <w:rPr>
                <w:noProof/>
                <w:webHidden/>
                <w:sz w:val="22"/>
                <w:szCs w:val="22"/>
              </w:rPr>
              <w:fldChar w:fldCharType="end"/>
            </w:r>
          </w:hyperlink>
        </w:p>
        <w:p w14:paraId="70E39EBE" w14:textId="1A08F175" w:rsidR="00020DBF" w:rsidRPr="00A76941" w:rsidRDefault="00020DBF">
          <w:pPr>
            <w:pStyle w:val="TOC1"/>
            <w:tabs>
              <w:tab w:val="right" w:pos="9628"/>
            </w:tabs>
            <w:rPr>
              <w:rFonts w:eastAsiaTheme="minorEastAsia" w:cstheme="minorBidi"/>
              <w:b w:val="0"/>
              <w:bCs w:val="0"/>
              <w:caps w:val="0"/>
              <w:noProof/>
              <w:sz w:val="22"/>
              <w:szCs w:val="22"/>
              <w:lang w:val="en-IT" w:eastAsia="ko-KR" w:bidi="ar-SA"/>
              <w14:ligatures w14:val="standardContextual"/>
            </w:rPr>
          </w:pPr>
          <w:hyperlink w:anchor="_Toc211587528" w:history="1">
            <w:r w:rsidRPr="00A76941">
              <w:rPr>
                <w:rStyle w:val="Hyperlink"/>
                <w:noProof/>
                <w:sz w:val="22"/>
                <w:szCs w:val="22"/>
              </w:rPr>
              <w:t>6. Closing Remarks</w:t>
            </w:r>
            <w:r w:rsidRPr="00A76941">
              <w:rPr>
                <w:noProof/>
                <w:webHidden/>
                <w:sz w:val="22"/>
                <w:szCs w:val="22"/>
              </w:rPr>
              <w:tab/>
            </w:r>
            <w:r w:rsidRPr="00A76941">
              <w:rPr>
                <w:noProof/>
                <w:webHidden/>
                <w:sz w:val="22"/>
                <w:szCs w:val="22"/>
              </w:rPr>
              <w:fldChar w:fldCharType="begin"/>
            </w:r>
            <w:r w:rsidRPr="00A76941">
              <w:rPr>
                <w:noProof/>
                <w:webHidden/>
                <w:sz w:val="22"/>
                <w:szCs w:val="22"/>
              </w:rPr>
              <w:instrText xml:space="preserve"> PAGEREF _Toc211587528 \h </w:instrText>
            </w:r>
            <w:r w:rsidRPr="00A76941">
              <w:rPr>
                <w:noProof/>
                <w:webHidden/>
                <w:sz w:val="22"/>
                <w:szCs w:val="22"/>
              </w:rPr>
            </w:r>
            <w:r w:rsidRPr="00A76941">
              <w:rPr>
                <w:noProof/>
                <w:webHidden/>
                <w:sz w:val="22"/>
                <w:szCs w:val="22"/>
              </w:rPr>
              <w:fldChar w:fldCharType="separate"/>
            </w:r>
            <w:r w:rsidRPr="00A76941">
              <w:rPr>
                <w:noProof/>
                <w:webHidden/>
                <w:sz w:val="22"/>
                <w:szCs w:val="22"/>
              </w:rPr>
              <w:t>21</w:t>
            </w:r>
            <w:r w:rsidRPr="00A76941">
              <w:rPr>
                <w:noProof/>
                <w:webHidden/>
                <w:sz w:val="22"/>
                <w:szCs w:val="22"/>
              </w:rPr>
              <w:fldChar w:fldCharType="end"/>
            </w:r>
          </w:hyperlink>
        </w:p>
        <w:p w14:paraId="674DD7CE" w14:textId="0CCF301A" w:rsidR="00020DBF" w:rsidRPr="00A76941" w:rsidRDefault="00020DBF">
          <w:pPr>
            <w:pStyle w:val="TOC1"/>
            <w:tabs>
              <w:tab w:val="right" w:pos="9628"/>
            </w:tabs>
            <w:rPr>
              <w:rFonts w:eastAsiaTheme="minorEastAsia" w:cstheme="minorBidi"/>
              <w:b w:val="0"/>
              <w:bCs w:val="0"/>
              <w:caps w:val="0"/>
              <w:noProof/>
              <w:sz w:val="22"/>
              <w:szCs w:val="22"/>
              <w:lang w:val="en-IT" w:eastAsia="ko-KR" w:bidi="ar-SA"/>
              <w14:ligatures w14:val="standardContextual"/>
            </w:rPr>
          </w:pPr>
          <w:hyperlink w:anchor="_Toc211587529" w:history="1">
            <w:r w:rsidRPr="00A76941">
              <w:rPr>
                <w:rStyle w:val="Hyperlink"/>
                <w:noProof/>
                <w:sz w:val="22"/>
                <w:szCs w:val="22"/>
              </w:rPr>
              <w:t>List of References</w:t>
            </w:r>
            <w:r w:rsidRPr="00A76941">
              <w:rPr>
                <w:noProof/>
                <w:webHidden/>
                <w:sz w:val="22"/>
                <w:szCs w:val="22"/>
              </w:rPr>
              <w:tab/>
            </w:r>
            <w:r w:rsidRPr="00A76941">
              <w:rPr>
                <w:noProof/>
                <w:webHidden/>
                <w:sz w:val="22"/>
                <w:szCs w:val="22"/>
              </w:rPr>
              <w:fldChar w:fldCharType="begin"/>
            </w:r>
            <w:r w:rsidRPr="00A76941">
              <w:rPr>
                <w:noProof/>
                <w:webHidden/>
                <w:sz w:val="22"/>
                <w:szCs w:val="22"/>
              </w:rPr>
              <w:instrText xml:space="preserve"> PAGEREF _Toc211587529 \h </w:instrText>
            </w:r>
            <w:r w:rsidRPr="00A76941">
              <w:rPr>
                <w:noProof/>
                <w:webHidden/>
                <w:sz w:val="22"/>
                <w:szCs w:val="22"/>
              </w:rPr>
            </w:r>
            <w:r w:rsidRPr="00A76941">
              <w:rPr>
                <w:noProof/>
                <w:webHidden/>
                <w:sz w:val="22"/>
                <w:szCs w:val="22"/>
              </w:rPr>
              <w:fldChar w:fldCharType="separate"/>
            </w:r>
            <w:r w:rsidRPr="00A76941">
              <w:rPr>
                <w:noProof/>
                <w:webHidden/>
                <w:sz w:val="22"/>
                <w:szCs w:val="22"/>
              </w:rPr>
              <w:t>22</w:t>
            </w:r>
            <w:r w:rsidRPr="00A76941">
              <w:rPr>
                <w:noProof/>
                <w:webHidden/>
                <w:sz w:val="22"/>
                <w:szCs w:val="22"/>
              </w:rPr>
              <w:fldChar w:fldCharType="end"/>
            </w:r>
          </w:hyperlink>
        </w:p>
        <w:p w14:paraId="6CBBDB99" w14:textId="027A0164" w:rsidR="00020DBF" w:rsidRDefault="00020DBF">
          <w:r w:rsidRPr="00A76941">
            <w:rPr>
              <w:b/>
              <w:bCs/>
              <w:noProof/>
            </w:rPr>
            <w:fldChar w:fldCharType="end"/>
          </w:r>
        </w:p>
      </w:sdtContent>
    </w:sdt>
    <w:p w14:paraId="71FD1503" w14:textId="77777777" w:rsidR="009B6EA6" w:rsidRPr="009B6EA6" w:rsidRDefault="009B6EA6" w:rsidP="009B6EA6">
      <w:pPr>
        <w:pStyle w:val="p1"/>
        <w:rPr>
          <w:rFonts w:ascii="Calibri" w:hAnsi="Calibri" w:cs="Calibri"/>
          <w:b/>
          <w:sz w:val="22"/>
          <w:szCs w:val="22"/>
          <w:lang w:val="en-GB"/>
        </w:rPr>
      </w:pPr>
    </w:p>
    <w:p w14:paraId="1BE3B94C" w14:textId="77777777" w:rsidR="009B6EA6" w:rsidRPr="009B6EA6" w:rsidRDefault="009B6EA6" w:rsidP="009B6EA6">
      <w:pPr>
        <w:pStyle w:val="p1"/>
        <w:rPr>
          <w:rFonts w:ascii="Calibri" w:hAnsi="Calibri" w:cs="Calibri"/>
          <w:sz w:val="22"/>
          <w:szCs w:val="22"/>
          <w:lang w:val="en-GB"/>
        </w:rPr>
      </w:pPr>
    </w:p>
    <w:p w14:paraId="6344114D" w14:textId="77777777" w:rsidR="009B6EA6" w:rsidRPr="009B6EA6" w:rsidRDefault="009B6EA6" w:rsidP="007074EC">
      <w:pPr>
        <w:pStyle w:val="p1"/>
        <w:rPr>
          <w:rFonts w:ascii="Calibri" w:hAnsi="Calibri" w:cs="Calibri"/>
          <w:sz w:val="22"/>
          <w:szCs w:val="22"/>
          <w:lang w:val="en-GB"/>
        </w:rPr>
      </w:pPr>
    </w:p>
    <w:p w14:paraId="6F2601D2" w14:textId="77777777" w:rsidR="007074EC" w:rsidRPr="00AF4EBD" w:rsidRDefault="007074EC" w:rsidP="00D03830">
      <w:pPr>
        <w:jc w:val="both"/>
        <w:rPr>
          <w:rFonts w:ascii="Calibri" w:eastAsia="Calibri" w:hAnsi="Calibri" w:cs="Calibri"/>
          <w:color w:val="000000"/>
          <w:sz w:val="52"/>
          <w:szCs w:val="52"/>
          <w:lang w:val="en-GB"/>
        </w:rPr>
      </w:pPr>
    </w:p>
    <w:p w14:paraId="5E60B05A" w14:textId="77777777" w:rsidR="00D03830" w:rsidRDefault="00D03830" w:rsidP="00BD71B7">
      <w:pPr>
        <w:jc w:val="both"/>
        <w:rPr>
          <w:rFonts w:ascii="Calibri" w:eastAsia="Calibri" w:hAnsi="Calibri" w:cs="Calibri"/>
          <w:b/>
          <w:color w:val="7731D8"/>
          <w:sz w:val="22"/>
          <w:szCs w:val="22"/>
          <w:lang w:val="en-GB"/>
        </w:rPr>
      </w:pPr>
    </w:p>
    <w:p w14:paraId="2A648F85" w14:textId="77777777" w:rsidR="00D03830" w:rsidRDefault="00D03830" w:rsidP="00BD71B7">
      <w:pPr>
        <w:jc w:val="both"/>
        <w:rPr>
          <w:rFonts w:ascii="Calibri" w:eastAsia="Calibri" w:hAnsi="Calibri" w:cs="Calibri"/>
          <w:b/>
          <w:color w:val="7731D8"/>
          <w:sz w:val="22"/>
          <w:szCs w:val="22"/>
          <w:lang w:val="en-GB"/>
        </w:rPr>
      </w:pPr>
    </w:p>
    <w:p w14:paraId="009A1BF6" w14:textId="77777777" w:rsidR="00240688" w:rsidRDefault="00240688" w:rsidP="00BD71B7">
      <w:pPr>
        <w:jc w:val="both"/>
        <w:rPr>
          <w:rFonts w:ascii="Calibri" w:eastAsia="Calibri" w:hAnsi="Calibri" w:cs="Calibri"/>
          <w:b/>
          <w:color w:val="7731D8"/>
          <w:sz w:val="22"/>
          <w:szCs w:val="22"/>
          <w:lang w:val="en-GB"/>
        </w:rPr>
      </w:pPr>
    </w:p>
    <w:p w14:paraId="3A3AC1A0" w14:textId="77777777" w:rsidR="00240688" w:rsidRDefault="00240688" w:rsidP="00BD71B7">
      <w:pPr>
        <w:jc w:val="both"/>
        <w:rPr>
          <w:rFonts w:ascii="Calibri" w:eastAsia="Calibri" w:hAnsi="Calibri" w:cs="Calibri"/>
          <w:b/>
          <w:color w:val="7731D8"/>
          <w:sz w:val="22"/>
          <w:szCs w:val="22"/>
          <w:lang w:val="en-GB"/>
        </w:rPr>
      </w:pPr>
    </w:p>
    <w:p w14:paraId="0859004C" w14:textId="77777777" w:rsidR="00240688" w:rsidRDefault="00240688" w:rsidP="00BD71B7">
      <w:pPr>
        <w:jc w:val="both"/>
        <w:rPr>
          <w:rFonts w:ascii="Calibri" w:eastAsia="Calibri" w:hAnsi="Calibri" w:cs="Calibri"/>
          <w:b/>
          <w:color w:val="7731D8"/>
          <w:sz w:val="22"/>
          <w:szCs w:val="22"/>
          <w:lang w:val="en-GB"/>
        </w:rPr>
      </w:pPr>
    </w:p>
    <w:p w14:paraId="4C125686" w14:textId="77777777" w:rsidR="00240688" w:rsidRDefault="00240688" w:rsidP="00BD71B7">
      <w:pPr>
        <w:jc w:val="both"/>
        <w:rPr>
          <w:rFonts w:ascii="Calibri" w:eastAsia="Calibri" w:hAnsi="Calibri" w:cs="Calibri"/>
          <w:b/>
          <w:color w:val="7731D8"/>
          <w:sz w:val="22"/>
          <w:szCs w:val="22"/>
          <w:lang w:val="en-GB"/>
        </w:rPr>
      </w:pPr>
    </w:p>
    <w:p w14:paraId="452C948F" w14:textId="77777777" w:rsidR="00240688" w:rsidRDefault="00240688" w:rsidP="00BD71B7">
      <w:pPr>
        <w:jc w:val="both"/>
        <w:rPr>
          <w:rFonts w:ascii="Calibri" w:eastAsia="Calibri" w:hAnsi="Calibri" w:cs="Calibri"/>
          <w:b/>
          <w:color w:val="7731D8"/>
          <w:sz w:val="22"/>
          <w:szCs w:val="22"/>
          <w:lang w:val="en-GB"/>
        </w:rPr>
      </w:pPr>
    </w:p>
    <w:p w14:paraId="34B77BAC" w14:textId="77777777" w:rsidR="00240688" w:rsidRDefault="00240688" w:rsidP="00BD71B7">
      <w:pPr>
        <w:jc w:val="both"/>
        <w:rPr>
          <w:rFonts w:ascii="Calibri" w:eastAsia="Calibri" w:hAnsi="Calibri" w:cs="Calibri"/>
          <w:b/>
          <w:color w:val="7731D8"/>
          <w:sz w:val="22"/>
          <w:szCs w:val="22"/>
          <w:lang w:val="en-GB"/>
        </w:rPr>
      </w:pPr>
    </w:p>
    <w:p w14:paraId="532D2FE9" w14:textId="77777777" w:rsidR="00240688" w:rsidRDefault="00240688" w:rsidP="00BD71B7">
      <w:pPr>
        <w:jc w:val="both"/>
        <w:rPr>
          <w:rFonts w:ascii="Calibri" w:eastAsia="Calibri" w:hAnsi="Calibri" w:cs="Calibri"/>
          <w:b/>
          <w:color w:val="7731D8"/>
          <w:sz w:val="22"/>
          <w:szCs w:val="22"/>
          <w:lang w:val="en-GB"/>
        </w:rPr>
      </w:pPr>
    </w:p>
    <w:p w14:paraId="62D051CD" w14:textId="77777777" w:rsidR="00240688" w:rsidRDefault="00240688" w:rsidP="00BD71B7">
      <w:pPr>
        <w:jc w:val="both"/>
        <w:rPr>
          <w:rFonts w:ascii="Calibri" w:eastAsia="Calibri" w:hAnsi="Calibri" w:cs="Calibri"/>
          <w:b/>
          <w:color w:val="7731D8"/>
          <w:lang w:val="en-GB"/>
        </w:rPr>
      </w:pPr>
    </w:p>
    <w:p w14:paraId="226F93A8" w14:textId="77777777" w:rsidR="00240688" w:rsidRDefault="00240688" w:rsidP="00BD71B7">
      <w:pPr>
        <w:jc w:val="both"/>
        <w:rPr>
          <w:rFonts w:ascii="Calibri" w:eastAsia="Calibri" w:hAnsi="Calibri" w:cs="Calibri"/>
          <w:b/>
          <w:color w:val="7731D8"/>
          <w:lang w:val="en-GB"/>
        </w:rPr>
      </w:pPr>
    </w:p>
    <w:p w14:paraId="06D54933" w14:textId="77777777" w:rsidR="00020DBF" w:rsidRDefault="00020DBF" w:rsidP="00097F8D">
      <w:pPr>
        <w:pStyle w:val="Heading1"/>
      </w:pPr>
      <w:bookmarkStart w:id="0" w:name="_Toc211587519"/>
    </w:p>
    <w:p w14:paraId="40721155" w14:textId="77777777" w:rsidR="00020DBF" w:rsidRDefault="00020DBF" w:rsidP="00097F8D">
      <w:pPr>
        <w:pStyle w:val="Heading1"/>
      </w:pPr>
    </w:p>
    <w:p w14:paraId="5939C48F" w14:textId="77777777" w:rsidR="00A76941" w:rsidRDefault="00A76941" w:rsidP="00097F8D">
      <w:pPr>
        <w:pStyle w:val="Heading1"/>
      </w:pPr>
    </w:p>
    <w:p w14:paraId="08537964" w14:textId="77777777" w:rsidR="00634DC7" w:rsidRDefault="00634DC7" w:rsidP="00097F8D">
      <w:pPr>
        <w:pStyle w:val="Heading1"/>
      </w:pPr>
    </w:p>
    <w:p w14:paraId="7497C8E0" w14:textId="6B17BA50" w:rsidR="00BD71B7" w:rsidRPr="00097F8D" w:rsidRDefault="00BD71B7" w:rsidP="00097F8D">
      <w:pPr>
        <w:pStyle w:val="Heading1"/>
      </w:pPr>
      <w:r w:rsidRPr="00097F8D">
        <w:t>Executive Summary</w:t>
      </w:r>
      <w:bookmarkEnd w:id="0"/>
      <w:r w:rsidRPr="00097F8D">
        <w:t xml:space="preserve"> </w:t>
      </w:r>
    </w:p>
    <w:p w14:paraId="0542E54E" w14:textId="77777777" w:rsidR="00F03FA2" w:rsidRPr="00F03FA2" w:rsidRDefault="00F03FA2" w:rsidP="00BD71B7">
      <w:pPr>
        <w:jc w:val="both"/>
        <w:rPr>
          <w:rFonts w:ascii="Calibri" w:eastAsia="Calibri" w:hAnsi="Calibri" w:cs="Calibri"/>
          <w:b/>
          <w:color w:val="7731D8"/>
          <w:lang w:val="en-GB"/>
        </w:rPr>
      </w:pPr>
    </w:p>
    <w:p w14:paraId="7E023D8C"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xml:space="preserve">Ensuring equal pay for men and women has been widely deemed as essential to realising the broader objectives of gender equality actions. However, progress in this area remains inconsistent across industries, professions and countries worldwide, emphasising the need for sustained efforts. Since pay disparities stem from a complex interplay of structural, cultural, economic, and discriminatory factors, addressing the issue of equal pay requires a holistic and transformative approach. This means moving beyond isolated policy measures towards </w:t>
      </w:r>
      <w:r w:rsidRPr="00BD71B7">
        <w:rPr>
          <w:rFonts w:ascii="Calibri" w:eastAsia="Calibri" w:hAnsi="Calibri" w:cs="Calibri"/>
          <w:b/>
          <w:color w:val="000000"/>
          <w:sz w:val="22"/>
          <w:szCs w:val="22"/>
          <w:lang w:val="en-GB"/>
        </w:rPr>
        <w:t>coordinated efforts</w:t>
      </w:r>
      <w:r w:rsidRPr="00BD71B7">
        <w:rPr>
          <w:rFonts w:ascii="Calibri" w:eastAsia="Calibri" w:hAnsi="Calibri" w:cs="Calibri"/>
          <w:color w:val="000000"/>
          <w:sz w:val="22"/>
          <w:szCs w:val="22"/>
          <w:lang w:val="en-GB"/>
        </w:rPr>
        <w:t xml:space="preserve"> involving policymakers, organisations, companies, trade unions, and the wider society. Only through a systemic and structural change persistent inequalities can be effectively addressed, ensuring that pay equity becomes a reality rather than a distant ambition. </w:t>
      </w:r>
    </w:p>
    <w:p w14:paraId="37000D96" w14:textId="77777777" w:rsidR="00BD71B7" w:rsidRPr="00BD71B7" w:rsidRDefault="00BD71B7" w:rsidP="00BD71B7">
      <w:pPr>
        <w:rPr>
          <w:rFonts w:ascii="Calibri" w:eastAsia="Calibri" w:hAnsi="Calibri" w:cs="Calibri"/>
          <w:color w:val="000000"/>
          <w:sz w:val="22"/>
          <w:szCs w:val="22"/>
          <w:lang w:val="en-GB"/>
        </w:rPr>
      </w:pPr>
    </w:p>
    <w:p w14:paraId="1815F25C" w14:textId="1B4D35E1"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xml:space="preserve">Undoubtedly, the </w:t>
      </w:r>
      <w:r w:rsidRPr="00BD71B7">
        <w:rPr>
          <w:rFonts w:ascii="Calibri" w:eastAsia="Calibri" w:hAnsi="Calibri" w:cs="Calibri"/>
          <w:b/>
          <w:color w:val="000000"/>
          <w:sz w:val="22"/>
          <w:szCs w:val="22"/>
          <w:lang w:val="en-GB"/>
        </w:rPr>
        <w:t>Gender Pay Gap</w:t>
      </w:r>
      <w:r w:rsidRPr="00BD71B7">
        <w:rPr>
          <w:rFonts w:ascii="Calibri" w:eastAsia="Calibri" w:hAnsi="Calibri" w:cs="Calibri"/>
          <w:color w:val="000000"/>
          <w:sz w:val="22"/>
          <w:szCs w:val="22"/>
          <w:lang w:val="en-GB"/>
        </w:rPr>
        <w:t xml:space="preserve"> (GPG) is one of the most significant aspects of modern debates on equal pay. While the relationship between Equal Pay and the GPG will be examined in greater detail in the following sections, it is important to first establish its definition. The GPG can be defined as the disparity in average gross hourly earnings between women and men.</w:t>
      </w:r>
      <w:r w:rsidRPr="00BD71B7">
        <w:rPr>
          <w:rFonts w:ascii="Calibri" w:eastAsia="Calibri" w:hAnsi="Calibri" w:cs="Calibri"/>
          <w:color w:val="000000"/>
          <w:sz w:val="22"/>
          <w:szCs w:val="22"/>
          <w:vertAlign w:val="superscript"/>
          <w:lang w:val="en-GB"/>
        </w:rPr>
        <w:footnoteReference w:id="1"/>
      </w:r>
      <w:r w:rsidRPr="00BD71B7">
        <w:rPr>
          <w:rFonts w:ascii="Calibri" w:eastAsia="Calibri" w:hAnsi="Calibri" w:cs="Calibri"/>
          <w:color w:val="000000"/>
          <w:sz w:val="22"/>
          <w:szCs w:val="22"/>
          <w:lang w:val="en-GB"/>
        </w:rPr>
        <w:t xml:space="preserve"> The calculation is derived from the gross salaries paid to the employees, prior to the deduction of income tax and social security contributions.</w:t>
      </w:r>
      <w:r w:rsidRPr="00BD71B7">
        <w:rPr>
          <w:rFonts w:ascii="Calibri" w:eastAsia="Calibri" w:hAnsi="Calibri" w:cs="Calibri"/>
          <w:color w:val="000000"/>
          <w:sz w:val="22"/>
          <w:szCs w:val="22"/>
          <w:vertAlign w:val="superscript"/>
          <w:lang w:val="en-GB"/>
        </w:rPr>
        <w:footnoteReference w:id="2"/>
      </w:r>
      <w:r w:rsidRPr="00BD71B7">
        <w:rPr>
          <w:rFonts w:ascii="Calibri" w:eastAsia="Calibri" w:hAnsi="Calibri" w:cs="Calibri"/>
          <w:color w:val="000000"/>
          <w:sz w:val="22"/>
          <w:szCs w:val="22"/>
          <w:lang w:val="en-GB"/>
        </w:rPr>
        <w:t xml:space="preserve"> Despite the considerable efforts to address the GPG, according to which women receive lower pay than men for the same work</w:t>
      </w:r>
      <w:r w:rsidRPr="00BD71B7">
        <w:rPr>
          <w:rFonts w:ascii="Calibri" w:eastAsia="Calibri" w:hAnsi="Calibri" w:cs="Calibri"/>
          <w:color w:val="000000"/>
          <w:sz w:val="22"/>
          <w:szCs w:val="22"/>
          <w:vertAlign w:val="superscript"/>
          <w:lang w:val="en-GB"/>
        </w:rPr>
        <w:footnoteReference w:id="3"/>
      </w:r>
      <w:r w:rsidRPr="00BD71B7">
        <w:rPr>
          <w:rFonts w:ascii="Calibri" w:eastAsia="Calibri" w:hAnsi="Calibri" w:cs="Calibri"/>
          <w:color w:val="000000"/>
          <w:sz w:val="22"/>
          <w:szCs w:val="22"/>
          <w:lang w:val="en-GB"/>
        </w:rPr>
        <w:t>, statistics across the globe reveal that the existing institutional approaches, such as legislation and policy frameworks and equality projects, have proven to not be sufficient in addressing this matter. In the European Union (EU) for instance, in 202</w:t>
      </w:r>
      <w:r w:rsidR="00D42B17">
        <w:rPr>
          <w:rFonts w:ascii="Calibri" w:eastAsia="Calibri" w:hAnsi="Calibri" w:cs="Calibri"/>
          <w:color w:val="000000"/>
          <w:sz w:val="22"/>
          <w:szCs w:val="22"/>
          <w:lang w:val="en-GB"/>
        </w:rPr>
        <w:t>2</w:t>
      </w:r>
      <w:r w:rsidRPr="00BD71B7">
        <w:rPr>
          <w:rFonts w:ascii="Calibri" w:eastAsia="Calibri" w:hAnsi="Calibri" w:cs="Calibri"/>
          <w:color w:val="000000"/>
          <w:sz w:val="22"/>
          <w:szCs w:val="22"/>
          <w:lang w:val="en-GB"/>
        </w:rPr>
        <w:t>, women’s gross hourly earnings were on average 12.7% below those of men.</w:t>
      </w:r>
      <w:r w:rsidRPr="00BD71B7">
        <w:rPr>
          <w:rFonts w:ascii="Calibri" w:eastAsia="Calibri" w:hAnsi="Calibri" w:cs="Calibri"/>
          <w:color w:val="000000"/>
          <w:sz w:val="22"/>
          <w:szCs w:val="22"/>
          <w:vertAlign w:val="superscript"/>
          <w:lang w:val="en-GB"/>
        </w:rPr>
        <w:footnoteReference w:id="4"/>
      </w:r>
      <w:r w:rsidRPr="00BD71B7">
        <w:rPr>
          <w:rFonts w:ascii="Calibri" w:eastAsia="Calibri" w:hAnsi="Calibri" w:cs="Calibri"/>
          <w:color w:val="000000"/>
          <w:sz w:val="22"/>
          <w:szCs w:val="22"/>
          <w:lang w:val="en-GB"/>
        </w:rPr>
        <w:t> </w:t>
      </w:r>
    </w:p>
    <w:p w14:paraId="1CFF761C" w14:textId="77777777" w:rsidR="00BD71B7" w:rsidRPr="00BD71B7" w:rsidRDefault="00BD71B7" w:rsidP="00BD71B7">
      <w:pPr>
        <w:rPr>
          <w:rFonts w:ascii="Calibri" w:eastAsia="Calibri" w:hAnsi="Calibri" w:cs="Calibri"/>
          <w:color w:val="000000"/>
          <w:sz w:val="22"/>
          <w:szCs w:val="22"/>
          <w:lang w:val="en-GB"/>
        </w:rPr>
      </w:pPr>
    </w:p>
    <w:p w14:paraId="0F62DCFA"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This gap still persists, partly due to deeper systemic and structural issues such as lack of transparency, disparities in hiring practices, career progression opportunities, differences between adjusted and unadjusted pay gap calculations, labour market segregation, bias and stereotypes. </w:t>
      </w:r>
    </w:p>
    <w:p w14:paraId="5EC41D43" w14:textId="77777777" w:rsidR="00BD71B7" w:rsidRPr="00BD71B7" w:rsidRDefault="00BD71B7" w:rsidP="00BD71B7">
      <w:pPr>
        <w:rPr>
          <w:rFonts w:ascii="Calibri" w:eastAsia="Calibri" w:hAnsi="Calibri" w:cs="Calibri"/>
          <w:color w:val="000000"/>
          <w:sz w:val="22"/>
          <w:szCs w:val="22"/>
          <w:lang w:val="en-GB"/>
        </w:rPr>
      </w:pPr>
    </w:p>
    <w:p w14:paraId="24A38742" w14:textId="0F415183"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xml:space="preserve">In this context, the </w:t>
      </w:r>
      <w:r w:rsidRPr="00BD71B7">
        <w:rPr>
          <w:rFonts w:ascii="Calibri" w:eastAsia="Calibri" w:hAnsi="Calibri" w:cs="Calibri"/>
          <w:b/>
          <w:color w:val="000000"/>
          <w:sz w:val="22"/>
          <w:szCs w:val="22"/>
          <w:lang w:val="en-GB"/>
        </w:rPr>
        <w:t>E</w:t>
      </w:r>
      <w:r w:rsidR="00240688">
        <w:rPr>
          <w:rFonts w:ascii="Calibri" w:eastAsia="Calibri" w:hAnsi="Calibri" w:cs="Calibri"/>
          <w:b/>
          <w:color w:val="000000"/>
          <w:sz w:val="22"/>
          <w:szCs w:val="22"/>
          <w:lang w:val="en-GB"/>
        </w:rPr>
        <w:t xml:space="preserve">uropean </w:t>
      </w:r>
      <w:r w:rsidRPr="00BD71B7">
        <w:rPr>
          <w:rFonts w:ascii="Calibri" w:eastAsia="Calibri" w:hAnsi="Calibri" w:cs="Calibri"/>
          <w:b/>
          <w:color w:val="000000"/>
          <w:sz w:val="22"/>
          <w:szCs w:val="22"/>
          <w:lang w:val="en-GB"/>
        </w:rPr>
        <w:t>U</w:t>
      </w:r>
      <w:r w:rsidR="00240688">
        <w:rPr>
          <w:rFonts w:ascii="Calibri" w:eastAsia="Calibri" w:hAnsi="Calibri" w:cs="Calibri"/>
          <w:b/>
          <w:color w:val="000000"/>
          <w:sz w:val="22"/>
          <w:szCs w:val="22"/>
          <w:lang w:val="en-GB"/>
        </w:rPr>
        <w:t>nion (EU)</w:t>
      </w:r>
      <w:r w:rsidRPr="00BD71B7">
        <w:rPr>
          <w:rFonts w:ascii="Calibri" w:eastAsia="Calibri" w:hAnsi="Calibri" w:cs="Calibri"/>
          <w:b/>
          <w:color w:val="000000"/>
          <w:sz w:val="22"/>
          <w:szCs w:val="22"/>
          <w:lang w:val="en-GB"/>
        </w:rPr>
        <w:t xml:space="preserve"> Pay Transparency Directive (PTD)</w:t>
      </w:r>
      <w:r w:rsidRPr="00BD71B7">
        <w:rPr>
          <w:rFonts w:ascii="Calibri" w:eastAsia="Calibri" w:hAnsi="Calibri" w:cs="Calibri"/>
          <w:color w:val="000000"/>
          <w:sz w:val="22"/>
          <w:szCs w:val="22"/>
          <w:lang w:val="en-GB"/>
        </w:rPr>
        <w:t xml:space="preserve"> represents a major turning point in European labour and equality policy. By </w:t>
      </w:r>
      <w:r w:rsidRPr="00BD71B7">
        <w:rPr>
          <w:rFonts w:ascii="Calibri" w:eastAsia="Calibri" w:hAnsi="Calibri" w:cs="Calibri"/>
          <w:b/>
          <w:color w:val="000000"/>
          <w:sz w:val="22"/>
          <w:szCs w:val="22"/>
          <w:lang w:val="en-GB"/>
        </w:rPr>
        <w:t>7 June 2026</w:t>
      </w:r>
      <w:r w:rsidRPr="00BD71B7">
        <w:rPr>
          <w:rFonts w:ascii="Calibri" w:eastAsia="Calibri" w:hAnsi="Calibri" w:cs="Calibri"/>
          <w:color w:val="000000"/>
          <w:sz w:val="22"/>
          <w:szCs w:val="22"/>
          <w:lang w:val="en-GB"/>
        </w:rPr>
        <w:t xml:space="preserve">, all Member States must have new laws in place to ensure pay transparency and tackle unjustified pay gaps. This is not just about ticking legal boxes. It is about building fairer pay systems and workplaces at every level. The Directive sets a new standard: </w:t>
      </w:r>
      <w:r w:rsidRPr="00BD71B7">
        <w:rPr>
          <w:rFonts w:ascii="Calibri" w:eastAsia="Calibri" w:hAnsi="Calibri" w:cs="Calibri"/>
          <w:b/>
          <w:color w:val="000000"/>
          <w:sz w:val="22"/>
          <w:szCs w:val="22"/>
          <w:lang w:val="en-GB"/>
        </w:rPr>
        <w:t>transparency is no longer optional, and inaction is no longer acceptable</w:t>
      </w:r>
      <w:r w:rsidRPr="00BD71B7">
        <w:rPr>
          <w:rFonts w:ascii="Calibri" w:eastAsia="Calibri" w:hAnsi="Calibri" w:cs="Calibri"/>
          <w:color w:val="000000"/>
          <w:sz w:val="22"/>
          <w:szCs w:val="22"/>
          <w:lang w:val="en-GB"/>
        </w:rPr>
        <w:t>.</w:t>
      </w:r>
    </w:p>
    <w:p w14:paraId="3088A261" w14:textId="77777777" w:rsidR="00BD71B7" w:rsidRPr="00BD71B7" w:rsidRDefault="00BD71B7" w:rsidP="00BD71B7">
      <w:pPr>
        <w:rPr>
          <w:rFonts w:ascii="Calibri" w:eastAsia="Calibri" w:hAnsi="Calibri" w:cs="Calibri"/>
          <w:color w:val="000000"/>
          <w:sz w:val="22"/>
          <w:szCs w:val="22"/>
          <w:lang w:val="en-GB"/>
        </w:rPr>
      </w:pPr>
    </w:p>
    <w:p w14:paraId="04CA2DF2"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Therefore, in line with the RE-WIRING aims, it is essential to engage with all the stakeholders responsible for driving change at every societal level, ensuring that institutions evolve from being gender-blind or gender-neutral to becoming gender-sensitive, responsive and transformative.</w:t>
      </w:r>
      <w:r w:rsidRPr="00BD71B7">
        <w:rPr>
          <w:rFonts w:ascii="Calibri" w:eastAsia="Calibri" w:hAnsi="Calibri" w:cs="Calibri"/>
          <w:color w:val="000000"/>
          <w:sz w:val="22"/>
          <w:szCs w:val="22"/>
          <w:vertAlign w:val="superscript"/>
          <w:lang w:val="en-GB"/>
        </w:rPr>
        <w:footnoteReference w:id="5"/>
      </w:r>
      <w:r w:rsidRPr="00BD71B7">
        <w:rPr>
          <w:rFonts w:ascii="Calibri" w:eastAsia="Calibri" w:hAnsi="Calibri" w:cs="Calibri"/>
          <w:color w:val="000000"/>
          <w:sz w:val="22"/>
          <w:szCs w:val="22"/>
          <w:lang w:val="en-GB"/>
        </w:rPr>
        <w:t xml:space="preserve"> The </w:t>
      </w:r>
      <w:r w:rsidRPr="00BD71B7">
        <w:rPr>
          <w:rFonts w:ascii="Calibri" w:eastAsia="Calibri" w:hAnsi="Calibri" w:cs="Calibri"/>
          <w:b/>
          <w:color w:val="000000"/>
          <w:sz w:val="22"/>
          <w:szCs w:val="22"/>
          <w:lang w:val="en-GB"/>
        </w:rPr>
        <w:t>Transformative Equality Approach</w:t>
      </w:r>
      <w:r w:rsidRPr="00BD71B7">
        <w:rPr>
          <w:rFonts w:ascii="Calibri" w:eastAsia="Calibri" w:hAnsi="Calibri" w:cs="Calibri"/>
          <w:color w:val="000000"/>
          <w:sz w:val="22"/>
          <w:szCs w:val="22"/>
          <w:lang w:val="en-GB"/>
        </w:rPr>
        <w:t xml:space="preserve"> (TEA) adopted by the RE-WIRING project goes beyond simply addressing the root causes of gender inequalities, actively challenging marginalisation, reshaping gender norms and stereotypes, and confronting cultural values and power imbalances that perpetuate inequities.</w:t>
      </w:r>
      <w:r w:rsidRPr="00BD71B7">
        <w:rPr>
          <w:rFonts w:ascii="Calibri" w:eastAsia="Calibri" w:hAnsi="Calibri" w:cs="Calibri"/>
          <w:color w:val="000000"/>
          <w:sz w:val="22"/>
          <w:szCs w:val="22"/>
          <w:vertAlign w:val="superscript"/>
          <w:lang w:val="en-GB"/>
        </w:rPr>
        <w:footnoteReference w:id="6"/>
      </w:r>
    </w:p>
    <w:p w14:paraId="5B51540F" w14:textId="77777777" w:rsidR="00BD71B7" w:rsidRPr="00BD71B7" w:rsidRDefault="00BD71B7" w:rsidP="00BD71B7">
      <w:pPr>
        <w:rPr>
          <w:rFonts w:ascii="Calibri" w:eastAsia="Calibri" w:hAnsi="Calibri" w:cs="Calibri"/>
          <w:color w:val="000000"/>
          <w:sz w:val="22"/>
          <w:szCs w:val="22"/>
          <w:lang w:val="en-GB"/>
        </w:rPr>
      </w:pPr>
    </w:p>
    <w:p w14:paraId="5A12B7A9"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This implies that the project directed its analysis not towards presenting women as traditionally vulnerable and victimised, but towards understanding how power can be neutralised or disabled by specific institutions, processes, and individuals, considering the conditions and actions that facilitate (re-)empowerment.</w:t>
      </w:r>
      <w:r w:rsidRPr="00BD71B7">
        <w:rPr>
          <w:rFonts w:ascii="Calibri" w:eastAsia="Calibri" w:hAnsi="Calibri" w:cs="Calibri"/>
          <w:color w:val="000000"/>
          <w:sz w:val="22"/>
          <w:szCs w:val="22"/>
          <w:vertAlign w:val="superscript"/>
          <w:lang w:val="en-GB"/>
        </w:rPr>
        <w:footnoteReference w:id="7"/>
      </w:r>
      <w:r w:rsidRPr="00BD71B7">
        <w:rPr>
          <w:rFonts w:ascii="Calibri" w:eastAsia="Calibri" w:hAnsi="Calibri" w:cs="Calibri"/>
          <w:color w:val="000000"/>
          <w:sz w:val="22"/>
          <w:szCs w:val="22"/>
          <w:lang w:val="en-GB"/>
        </w:rPr>
        <w:t xml:space="preserve"> The focus is not on 'fixing' women per se, but on promoting transformative change that can be driven by all individuals, including men.</w:t>
      </w:r>
      <w:r w:rsidRPr="00BD71B7">
        <w:rPr>
          <w:rFonts w:ascii="Calibri" w:eastAsia="Calibri" w:hAnsi="Calibri" w:cs="Calibri"/>
          <w:color w:val="000000"/>
          <w:sz w:val="22"/>
          <w:szCs w:val="22"/>
          <w:vertAlign w:val="superscript"/>
          <w:lang w:val="en-GB"/>
        </w:rPr>
        <w:footnoteReference w:id="8"/>
      </w:r>
      <w:r w:rsidRPr="00BD71B7">
        <w:rPr>
          <w:rFonts w:ascii="Calibri" w:eastAsia="Calibri" w:hAnsi="Calibri" w:cs="Calibri"/>
          <w:color w:val="000000"/>
          <w:sz w:val="22"/>
          <w:szCs w:val="22"/>
          <w:lang w:val="en-GB"/>
        </w:rPr>
        <w:t xml:space="preserve"> Essential is to avoid designing policies and practices that encourage women to adapt to and fit within existing institutional systems that may still be gendered, patriarchal, and built on harmful gender stereotypes and biases.</w:t>
      </w:r>
      <w:r w:rsidRPr="00BD71B7">
        <w:rPr>
          <w:rFonts w:ascii="Calibri" w:eastAsia="Calibri" w:hAnsi="Calibri" w:cs="Calibri"/>
          <w:color w:val="000000"/>
          <w:sz w:val="22"/>
          <w:szCs w:val="22"/>
          <w:vertAlign w:val="superscript"/>
          <w:lang w:val="en-GB"/>
        </w:rPr>
        <w:footnoteReference w:id="9"/>
      </w:r>
      <w:r w:rsidRPr="00BD71B7">
        <w:rPr>
          <w:rFonts w:ascii="Calibri" w:eastAsia="Calibri" w:hAnsi="Calibri" w:cs="Calibri"/>
          <w:color w:val="000000"/>
          <w:sz w:val="22"/>
          <w:szCs w:val="22"/>
          <w:lang w:val="en-GB"/>
        </w:rPr>
        <w:t xml:space="preserve"> </w:t>
      </w:r>
    </w:p>
    <w:p w14:paraId="1B1CC409" w14:textId="77777777" w:rsidR="00BD71B7" w:rsidRPr="00BD71B7" w:rsidRDefault="00BD71B7" w:rsidP="00BD71B7">
      <w:pPr>
        <w:jc w:val="both"/>
        <w:rPr>
          <w:rFonts w:ascii="Calibri" w:eastAsia="Calibri" w:hAnsi="Calibri" w:cs="Calibri"/>
          <w:color w:val="000000"/>
          <w:sz w:val="22"/>
          <w:szCs w:val="22"/>
          <w:lang w:val="en-GB"/>
        </w:rPr>
      </w:pPr>
    </w:p>
    <w:p w14:paraId="3999477D" w14:textId="77777777" w:rsidR="00BD71B7" w:rsidRPr="00BD71B7" w:rsidRDefault="00BD71B7" w:rsidP="00BD71B7">
      <w:pPr>
        <w:jc w:val="both"/>
        <w:rPr>
          <w:rFonts w:ascii="Calibri" w:eastAsia="Calibri" w:hAnsi="Calibri" w:cs="Calibri"/>
          <w:b/>
          <w:color w:val="7731D8"/>
          <w:sz w:val="22"/>
          <w:szCs w:val="22"/>
          <w:lang w:val="en-GB"/>
        </w:rPr>
      </w:pPr>
    </w:p>
    <w:p w14:paraId="4858656B" w14:textId="77777777" w:rsidR="00BD71B7" w:rsidRPr="00BD71B7" w:rsidRDefault="00BD71B7" w:rsidP="00BD71B7">
      <w:pPr>
        <w:jc w:val="both"/>
        <w:rPr>
          <w:rFonts w:ascii="Calibri" w:eastAsia="Calibri" w:hAnsi="Calibri" w:cs="Calibri"/>
          <w:b/>
          <w:color w:val="7731D8"/>
          <w:sz w:val="22"/>
          <w:szCs w:val="22"/>
          <w:lang w:val="en-GB"/>
        </w:rPr>
      </w:pPr>
    </w:p>
    <w:p w14:paraId="0237A001" w14:textId="77777777" w:rsidR="00BD71B7" w:rsidRPr="00BD71B7" w:rsidRDefault="00BD71B7" w:rsidP="00BD71B7">
      <w:pPr>
        <w:jc w:val="both"/>
        <w:rPr>
          <w:rFonts w:ascii="Calibri" w:eastAsia="Calibri" w:hAnsi="Calibri" w:cs="Calibri"/>
          <w:b/>
          <w:color w:val="7731D8"/>
          <w:sz w:val="22"/>
          <w:szCs w:val="22"/>
          <w:lang w:val="en-GB"/>
        </w:rPr>
      </w:pPr>
    </w:p>
    <w:p w14:paraId="2B01E995" w14:textId="77777777" w:rsidR="00BD71B7" w:rsidRPr="00BD71B7" w:rsidRDefault="00BD71B7" w:rsidP="00BD71B7">
      <w:pPr>
        <w:jc w:val="both"/>
        <w:rPr>
          <w:rFonts w:ascii="Calibri" w:eastAsia="Calibri" w:hAnsi="Calibri" w:cs="Calibri"/>
          <w:b/>
          <w:color w:val="7731D8"/>
          <w:sz w:val="22"/>
          <w:szCs w:val="22"/>
          <w:lang w:val="en-GB"/>
        </w:rPr>
      </w:pPr>
    </w:p>
    <w:p w14:paraId="036ABAD9" w14:textId="77777777" w:rsidR="00BD71B7" w:rsidRPr="00BD71B7" w:rsidRDefault="00BD71B7" w:rsidP="00BD71B7">
      <w:pPr>
        <w:jc w:val="both"/>
        <w:rPr>
          <w:rFonts w:ascii="Calibri" w:eastAsia="Calibri" w:hAnsi="Calibri" w:cs="Calibri"/>
          <w:b/>
          <w:color w:val="7731D8"/>
          <w:sz w:val="22"/>
          <w:szCs w:val="22"/>
          <w:lang w:val="en-GB"/>
        </w:rPr>
      </w:pPr>
    </w:p>
    <w:p w14:paraId="2E078F1B" w14:textId="77777777" w:rsidR="00240688" w:rsidRDefault="00240688" w:rsidP="00BD71B7">
      <w:pPr>
        <w:jc w:val="both"/>
        <w:rPr>
          <w:rFonts w:ascii="Calibri" w:eastAsia="Calibri" w:hAnsi="Calibri" w:cs="Calibri"/>
          <w:b/>
          <w:color w:val="7731D8"/>
          <w:lang w:val="en-GB"/>
        </w:rPr>
      </w:pPr>
    </w:p>
    <w:p w14:paraId="59F77EED" w14:textId="77777777" w:rsidR="00240688" w:rsidRDefault="00240688" w:rsidP="00BD71B7">
      <w:pPr>
        <w:jc w:val="both"/>
        <w:rPr>
          <w:rFonts w:ascii="Calibri" w:eastAsia="Calibri" w:hAnsi="Calibri" w:cs="Calibri"/>
          <w:b/>
          <w:color w:val="7731D8"/>
          <w:lang w:val="en-GB"/>
        </w:rPr>
      </w:pPr>
    </w:p>
    <w:p w14:paraId="092765FF" w14:textId="77777777" w:rsidR="00240688" w:rsidRDefault="00240688" w:rsidP="00BD71B7">
      <w:pPr>
        <w:jc w:val="both"/>
        <w:rPr>
          <w:rFonts w:ascii="Calibri" w:eastAsia="Calibri" w:hAnsi="Calibri" w:cs="Calibri"/>
          <w:b/>
          <w:color w:val="7731D8"/>
          <w:lang w:val="en-GB"/>
        </w:rPr>
      </w:pPr>
    </w:p>
    <w:p w14:paraId="2EB117D8" w14:textId="77777777" w:rsidR="00240688" w:rsidRDefault="00240688" w:rsidP="00BD71B7">
      <w:pPr>
        <w:jc w:val="both"/>
        <w:rPr>
          <w:rFonts w:ascii="Calibri" w:eastAsia="Calibri" w:hAnsi="Calibri" w:cs="Calibri"/>
          <w:b/>
          <w:color w:val="7731D8"/>
          <w:lang w:val="en-GB"/>
        </w:rPr>
      </w:pPr>
    </w:p>
    <w:p w14:paraId="3CAEBF7B" w14:textId="77777777" w:rsidR="00240688" w:rsidRDefault="00240688" w:rsidP="00BD71B7">
      <w:pPr>
        <w:jc w:val="both"/>
        <w:rPr>
          <w:rFonts w:ascii="Calibri" w:eastAsia="Calibri" w:hAnsi="Calibri" w:cs="Calibri"/>
          <w:b/>
          <w:color w:val="7731D8"/>
          <w:lang w:val="en-GB"/>
        </w:rPr>
      </w:pPr>
    </w:p>
    <w:p w14:paraId="431A48B7" w14:textId="77777777" w:rsidR="00240688" w:rsidRDefault="00240688" w:rsidP="00BD71B7">
      <w:pPr>
        <w:jc w:val="both"/>
        <w:rPr>
          <w:rFonts w:ascii="Calibri" w:eastAsia="Calibri" w:hAnsi="Calibri" w:cs="Calibri"/>
          <w:b/>
          <w:color w:val="7731D8"/>
          <w:lang w:val="en-GB"/>
        </w:rPr>
      </w:pPr>
    </w:p>
    <w:p w14:paraId="40A71FF2" w14:textId="77777777" w:rsidR="00240688" w:rsidRDefault="00240688" w:rsidP="00BD71B7">
      <w:pPr>
        <w:jc w:val="both"/>
        <w:rPr>
          <w:rFonts w:ascii="Calibri" w:eastAsia="Calibri" w:hAnsi="Calibri" w:cs="Calibri"/>
          <w:b/>
          <w:color w:val="7731D8"/>
          <w:lang w:val="en-GB"/>
        </w:rPr>
      </w:pPr>
    </w:p>
    <w:p w14:paraId="0C865C7F" w14:textId="77777777" w:rsidR="00240688" w:rsidRDefault="00240688" w:rsidP="00BD71B7">
      <w:pPr>
        <w:jc w:val="both"/>
        <w:rPr>
          <w:rFonts w:ascii="Calibri" w:eastAsia="Calibri" w:hAnsi="Calibri" w:cs="Calibri"/>
          <w:b/>
          <w:color w:val="7731D8"/>
          <w:lang w:val="en-GB"/>
        </w:rPr>
      </w:pPr>
    </w:p>
    <w:p w14:paraId="56590965" w14:textId="77777777" w:rsidR="00240688" w:rsidRDefault="00240688" w:rsidP="00BD71B7">
      <w:pPr>
        <w:jc w:val="both"/>
        <w:rPr>
          <w:rFonts w:ascii="Calibri" w:eastAsia="Calibri" w:hAnsi="Calibri" w:cs="Calibri"/>
          <w:b/>
          <w:color w:val="7731D8"/>
          <w:lang w:val="en-GB"/>
        </w:rPr>
      </w:pPr>
    </w:p>
    <w:p w14:paraId="5E5CE0BE" w14:textId="77777777" w:rsidR="00240688" w:rsidRDefault="00240688" w:rsidP="00BD71B7">
      <w:pPr>
        <w:jc w:val="both"/>
        <w:rPr>
          <w:rFonts w:ascii="Calibri" w:eastAsia="Calibri" w:hAnsi="Calibri" w:cs="Calibri"/>
          <w:b/>
          <w:color w:val="7731D8"/>
          <w:lang w:val="en-GB"/>
        </w:rPr>
      </w:pPr>
    </w:p>
    <w:p w14:paraId="67856D78" w14:textId="77777777" w:rsidR="00240688" w:rsidRDefault="00240688" w:rsidP="00BD71B7">
      <w:pPr>
        <w:jc w:val="both"/>
        <w:rPr>
          <w:rFonts w:ascii="Calibri" w:eastAsia="Calibri" w:hAnsi="Calibri" w:cs="Calibri"/>
          <w:b/>
          <w:color w:val="7731D8"/>
          <w:lang w:val="en-GB"/>
        </w:rPr>
      </w:pPr>
    </w:p>
    <w:p w14:paraId="255E27AC" w14:textId="77777777" w:rsidR="00240688" w:rsidRDefault="00240688" w:rsidP="00BD71B7">
      <w:pPr>
        <w:jc w:val="both"/>
        <w:rPr>
          <w:rFonts w:ascii="Calibri" w:eastAsia="Calibri" w:hAnsi="Calibri" w:cs="Calibri"/>
          <w:b/>
          <w:color w:val="7731D8"/>
          <w:lang w:val="en-GB"/>
        </w:rPr>
      </w:pPr>
    </w:p>
    <w:p w14:paraId="7EBF8BD0" w14:textId="216677E6" w:rsidR="00BD71B7" w:rsidRPr="00F03FA2" w:rsidRDefault="00BD71B7" w:rsidP="00097F8D">
      <w:pPr>
        <w:pStyle w:val="Heading1"/>
      </w:pPr>
      <w:bookmarkStart w:id="1" w:name="_Toc211587520"/>
      <w:r w:rsidRPr="00F03FA2">
        <w:t xml:space="preserve">List of </w:t>
      </w:r>
      <w:r w:rsidR="00D03830" w:rsidRPr="00F03FA2">
        <w:t>Abbreviations</w:t>
      </w:r>
      <w:bookmarkEnd w:id="1"/>
    </w:p>
    <w:p w14:paraId="1563B0C3" w14:textId="77777777" w:rsidR="00BD71B7" w:rsidRPr="00BD71B7" w:rsidRDefault="00BD71B7" w:rsidP="00BD71B7">
      <w:pPr>
        <w:jc w:val="both"/>
        <w:rPr>
          <w:rFonts w:ascii="Calibri" w:eastAsia="Calibri" w:hAnsi="Calibri" w:cs="Calibri"/>
          <w:b/>
          <w:color w:val="7731D8"/>
          <w:sz w:val="22"/>
          <w:szCs w:val="22"/>
          <w:lang w:val="en-GB"/>
        </w:rPr>
      </w:pPr>
    </w:p>
    <w:p w14:paraId="2C80E89B" w14:textId="6960A6CA" w:rsidR="00BD71B7" w:rsidRPr="002E0BFE" w:rsidRDefault="00240688" w:rsidP="00BD71B7">
      <w:pPr>
        <w:jc w:val="both"/>
        <w:rPr>
          <w:rFonts w:ascii="Calibri" w:eastAsia="Calibri" w:hAnsi="Calibri" w:cs="Calibri"/>
          <w:bCs/>
          <w:sz w:val="22"/>
          <w:szCs w:val="22"/>
          <w:lang w:val="en-GB"/>
        </w:rPr>
      </w:pPr>
      <w:r>
        <w:rPr>
          <w:rFonts w:ascii="Calibri" w:eastAsia="Calibri" w:hAnsi="Calibri" w:cs="Calibri"/>
          <w:b/>
          <w:color w:val="7731D8"/>
          <w:sz w:val="22"/>
          <w:szCs w:val="22"/>
          <w:lang w:val="en-GB"/>
        </w:rPr>
        <w:t>GPG</w:t>
      </w:r>
      <w:r w:rsidR="002E0BFE">
        <w:rPr>
          <w:rFonts w:ascii="Calibri" w:eastAsia="Calibri" w:hAnsi="Calibri" w:cs="Calibri"/>
          <w:b/>
          <w:color w:val="7731D8"/>
          <w:sz w:val="22"/>
          <w:szCs w:val="22"/>
          <w:lang w:val="en-GB"/>
        </w:rPr>
        <w:t xml:space="preserve"> – </w:t>
      </w:r>
      <w:r w:rsidR="002E0BFE" w:rsidRPr="002E0BFE">
        <w:rPr>
          <w:rFonts w:ascii="Calibri" w:eastAsia="Calibri" w:hAnsi="Calibri" w:cs="Calibri"/>
          <w:bCs/>
          <w:sz w:val="22"/>
          <w:szCs w:val="22"/>
          <w:lang w:val="en-GB"/>
        </w:rPr>
        <w:t>Gender Pay Gap</w:t>
      </w:r>
    </w:p>
    <w:p w14:paraId="68684BE3" w14:textId="37EAE046" w:rsidR="00BD71B7" w:rsidRPr="00BD71B7" w:rsidRDefault="00240688" w:rsidP="00BD71B7">
      <w:pPr>
        <w:jc w:val="both"/>
        <w:rPr>
          <w:rFonts w:ascii="Calibri" w:eastAsia="Calibri" w:hAnsi="Calibri" w:cs="Calibri"/>
          <w:b/>
          <w:color w:val="7731D8"/>
          <w:sz w:val="22"/>
          <w:szCs w:val="22"/>
          <w:lang w:val="en-GB"/>
        </w:rPr>
      </w:pPr>
      <w:r>
        <w:rPr>
          <w:rFonts w:ascii="Calibri" w:eastAsia="Calibri" w:hAnsi="Calibri" w:cs="Calibri"/>
          <w:b/>
          <w:color w:val="7731D8"/>
          <w:sz w:val="22"/>
          <w:szCs w:val="22"/>
          <w:lang w:val="en-GB"/>
        </w:rPr>
        <w:t xml:space="preserve">EU </w:t>
      </w:r>
      <w:r w:rsidR="002E0BFE">
        <w:rPr>
          <w:rFonts w:ascii="Calibri" w:eastAsia="Calibri" w:hAnsi="Calibri" w:cs="Calibri"/>
          <w:b/>
          <w:color w:val="7731D8"/>
          <w:sz w:val="22"/>
          <w:szCs w:val="22"/>
          <w:lang w:val="en-GB"/>
        </w:rPr>
        <w:t xml:space="preserve">– </w:t>
      </w:r>
      <w:r w:rsidR="002E0BFE">
        <w:rPr>
          <w:rFonts w:ascii="Calibri" w:eastAsia="Calibri" w:hAnsi="Calibri" w:cs="Calibri"/>
          <w:bCs/>
          <w:sz w:val="22"/>
          <w:szCs w:val="22"/>
          <w:lang w:val="en-GB"/>
        </w:rPr>
        <w:t>European Union</w:t>
      </w:r>
    </w:p>
    <w:p w14:paraId="04342B8B" w14:textId="33396981" w:rsidR="00BD71B7" w:rsidRPr="00BD71B7" w:rsidRDefault="00240688" w:rsidP="00BD71B7">
      <w:pPr>
        <w:jc w:val="both"/>
        <w:rPr>
          <w:rFonts w:ascii="Calibri" w:eastAsia="Calibri" w:hAnsi="Calibri" w:cs="Calibri"/>
          <w:b/>
          <w:color w:val="7731D8"/>
          <w:sz w:val="22"/>
          <w:szCs w:val="22"/>
          <w:lang w:val="en-GB"/>
        </w:rPr>
      </w:pPr>
      <w:r>
        <w:rPr>
          <w:rFonts w:ascii="Calibri" w:eastAsia="Calibri" w:hAnsi="Calibri" w:cs="Calibri"/>
          <w:b/>
          <w:color w:val="7731D8"/>
          <w:sz w:val="22"/>
          <w:szCs w:val="22"/>
          <w:lang w:val="en-GB"/>
        </w:rPr>
        <w:t>PTD</w:t>
      </w:r>
      <w:r w:rsidR="002E0BFE">
        <w:rPr>
          <w:rFonts w:ascii="Calibri" w:eastAsia="Calibri" w:hAnsi="Calibri" w:cs="Calibri"/>
          <w:b/>
          <w:color w:val="7731D8"/>
          <w:sz w:val="22"/>
          <w:szCs w:val="22"/>
          <w:lang w:val="en-GB"/>
        </w:rPr>
        <w:t xml:space="preserve"> – </w:t>
      </w:r>
      <w:r w:rsidR="002E0BFE">
        <w:rPr>
          <w:rFonts w:ascii="Calibri" w:eastAsia="Calibri" w:hAnsi="Calibri" w:cs="Calibri"/>
          <w:bCs/>
          <w:sz w:val="22"/>
          <w:szCs w:val="22"/>
          <w:lang w:val="en-GB"/>
        </w:rPr>
        <w:t>Pay Transparency Directive</w:t>
      </w:r>
    </w:p>
    <w:p w14:paraId="6077326F" w14:textId="32F2B9B5" w:rsidR="00BD71B7" w:rsidRDefault="00240688" w:rsidP="00BD71B7">
      <w:pPr>
        <w:jc w:val="both"/>
        <w:rPr>
          <w:rFonts w:ascii="Calibri" w:eastAsia="Calibri" w:hAnsi="Calibri" w:cs="Calibri"/>
          <w:b/>
          <w:color w:val="7731D8"/>
          <w:sz w:val="22"/>
          <w:szCs w:val="22"/>
          <w:lang w:val="en-GB"/>
        </w:rPr>
      </w:pPr>
      <w:r>
        <w:rPr>
          <w:rFonts w:ascii="Calibri" w:eastAsia="Calibri" w:hAnsi="Calibri" w:cs="Calibri"/>
          <w:b/>
          <w:color w:val="7731D8"/>
          <w:sz w:val="22"/>
          <w:szCs w:val="22"/>
          <w:lang w:val="en-GB"/>
        </w:rPr>
        <w:t>TEA</w:t>
      </w:r>
      <w:r w:rsidR="002E0BFE">
        <w:rPr>
          <w:rFonts w:ascii="Calibri" w:eastAsia="Calibri" w:hAnsi="Calibri" w:cs="Calibri"/>
          <w:b/>
          <w:color w:val="7731D8"/>
          <w:sz w:val="22"/>
          <w:szCs w:val="22"/>
          <w:lang w:val="en-GB"/>
        </w:rPr>
        <w:t xml:space="preserve"> – </w:t>
      </w:r>
      <w:r w:rsidR="00E51896">
        <w:rPr>
          <w:rFonts w:ascii="Calibri" w:eastAsia="Calibri" w:hAnsi="Calibri" w:cs="Calibri"/>
          <w:bCs/>
          <w:sz w:val="22"/>
          <w:szCs w:val="22"/>
          <w:lang w:val="en-GB"/>
        </w:rPr>
        <w:t>Transformative Equality Approach</w:t>
      </w:r>
    </w:p>
    <w:p w14:paraId="57D6BC57" w14:textId="5F632F12" w:rsidR="00BD71B7" w:rsidRPr="00BD71B7" w:rsidRDefault="00BD4F4B" w:rsidP="00BD71B7">
      <w:pPr>
        <w:jc w:val="both"/>
        <w:rPr>
          <w:rFonts w:ascii="Calibri" w:eastAsia="Calibri" w:hAnsi="Calibri" w:cs="Calibri"/>
          <w:b/>
          <w:color w:val="7731D8"/>
          <w:sz w:val="22"/>
          <w:szCs w:val="22"/>
          <w:lang w:val="en-GB"/>
        </w:rPr>
      </w:pPr>
      <w:r>
        <w:rPr>
          <w:rFonts w:ascii="Calibri" w:eastAsia="Calibri" w:hAnsi="Calibri" w:cs="Calibri"/>
          <w:b/>
          <w:color w:val="7731D8"/>
          <w:sz w:val="22"/>
          <w:szCs w:val="22"/>
          <w:lang w:val="en-GB"/>
        </w:rPr>
        <w:t>EEC</w:t>
      </w:r>
      <w:r w:rsidR="002E0BFE">
        <w:rPr>
          <w:rFonts w:ascii="Calibri" w:eastAsia="Calibri" w:hAnsi="Calibri" w:cs="Calibri"/>
          <w:b/>
          <w:color w:val="7731D8"/>
          <w:sz w:val="22"/>
          <w:szCs w:val="22"/>
          <w:lang w:val="en-GB"/>
        </w:rPr>
        <w:t xml:space="preserve"> –</w:t>
      </w:r>
      <w:r w:rsidR="002E0BFE" w:rsidRPr="002E0BFE">
        <w:rPr>
          <w:rFonts w:ascii="Calibri" w:eastAsia="Calibri" w:hAnsi="Calibri" w:cs="Calibri"/>
          <w:bCs/>
          <w:sz w:val="22"/>
          <w:szCs w:val="22"/>
          <w:lang w:val="en-GB"/>
        </w:rPr>
        <w:t xml:space="preserve"> </w:t>
      </w:r>
      <w:r w:rsidR="00E51896">
        <w:rPr>
          <w:rFonts w:ascii="Calibri" w:eastAsia="Calibri" w:hAnsi="Calibri" w:cs="Calibri"/>
          <w:bCs/>
          <w:sz w:val="22"/>
          <w:szCs w:val="22"/>
          <w:lang w:val="en-GB"/>
        </w:rPr>
        <w:t>European Economic Community</w:t>
      </w:r>
    </w:p>
    <w:p w14:paraId="640444A6" w14:textId="59935EFA" w:rsidR="00BD71B7" w:rsidRPr="00BD71B7" w:rsidRDefault="00BD4F4B" w:rsidP="00BD71B7">
      <w:pPr>
        <w:jc w:val="both"/>
        <w:rPr>
          <w:rFonts w:ascii="Calibri" w:eastAsia="Calibri" w:hAnsi="Calibri" w:cs="Calibri"/>
          <w:b/>
          <w:color w:val="7731D8"/>
          <w:sz w:val="22"/>
          <w:szCs w:val="22"/>
          <w:lang w:val="en-GB"/>
        </w:rPr>
      </w:pPr>
      <w:r>
        <w:rPr>
          <w:rFonts w:ascii="Calibri" w:eastAsia="Calibri" w:hAnsi="Calibri" w:cs="Calibri"/>
          <w:b/>
          <w:color w:val="7731D8"/>
          <w:sz w:val="22"/>
          <w:szCs w:val="22"/>
          <w:lang w:val="en-GB"/>
        </w:rPr>
        <w:t>TFEU</w:t>
      </w:r>
      <w:r w:rsidR="002E0BFE">
        <w:rPr>
          <w:rFonts w:ascii="Calibri" w:eastAsia="Calibri" w:hAnsi="Calibri" w:cs="Calibri"/>
          <w:b/>
          <w:color w:val="7731D8"/>
          <w:sz w:val="22"/>
          <w:szCs w:val="22"/>
          <w:lang w:val="en-GB"/>
        </w:rPr>
        <w:t xml:space="preserve"> –</w:t>
      </w:r>
      <w:r w:rsidR="002E0BFE" w:rsidRPr="002E0BFE">
        <w:rPr>
          <w:rFonts w:ascii="Calibri" w:eastAsia="Calibri" w:hAnsi="Calibri" w:cs="Calibri"/>
          <w:bCs/>
          <w:sz w:val="22"/>
          <w:szCs w:val="22"/>
          <w:lang w:val="en-GB"/>
        </w:rPr>
        <w:t xml:space="preserve"> </w:t>
      </w:r>
      <w:r w:rsidR="00E51896">
        <w:rPr>
          <w:rFonts w:ascii="Calibri" w:eastAsia="Calibri" w:hAnsi="Calibri" w:cs="Calibri"/>
          <w:bCs/>
          <w:sz w:val="22"/>
          <w:szCs w:val="22"/>
          <w:lang w:val="en-GB"/>
        </w:rPr>
        <w:t>Treaty on the Functioning of the European Union</w:t>
      </w:r>
    </w:p>
    <w:p w14:paraId="12CA757D" w14:textId="3ED5372B" w:rsidR="00BD71B7" w:rsidRPr="002E0BFE" w:rsidRDefault="00BD4F4B" w:rsidP="00BD71B7">
      <w:pPr>
        <w:jc w:val="both"/>
        <w:rPr>
          <w:rFonts w:ascii="Calibri" w:eastAsia="Calibri" w:hAnsi="Calibri" w:cs="Calibri"/>
          <w:b/>
          <w:color w:val="7731D8"/>
          <w:sz w:val="22"/>
          <w:szCs w:val="22"/>
          <w:lang w:val="en-GB"/>
        </w:rPr>
      </w:pPr>
      <w:r w:rsidRPr="002E0BFE">
        <w:rPr>
          <w:rFonts w:ascii="Calibri" w:eastAsia="Calibri" w:hAnsi="Calibri" w:cs="Calibri"/>
          <w:b/>
          <w:color w:val="7731D8"/>
          <w:sz w:val="22"/>
          <w:szCs w:val="22"/>
          <w:lang w:val="en-GB"/>
        </w:rPr>
        <w:t>CJEU</w:t>
      </w:r>
      <w:r w:rsidR="002E0BFE" w:rsidRPr="002E0BFE">
        <w:rPr>
          <w:rFonts w:ascii="Calibri" w:eastAsia="Calibri" w:hAnsi="Calibri" w:cs="Calibri"/>
          <w:b/>
          <w:color w:val="7731D8"/>
          <w:sz w:val="22"/>
          <w:szCs w:val="22"/>
          <w:lang w:val="en-GB"/>
        </w:rPr>
        <w:t xml:space="preserve"> –</w:t>
      </w:r>
      <w:r w:rsidR="002E0BFE" w:rsidRPr="002E0BFE">
        <w:rPr>
          <w:rFonts w:ascii="Calibri" w:eastAsia="Calibri" w:hAnsi="Calibri" w:cs="Calibri"/>
          <w:bCs/>
          <w:sz w:val="22"/>
          <w:szCs w:val="22"/>
          <w:lang w:val="en-GB"/>
        </w:rPr>
        <w:t xml:space="preserve"> </w:t>
      </w:r>
      <w:r w:rsidR="00E51896">
        <w:rPr>
          <w:rFonts w:ascii="Calibri" w:eastAsia="Calibri" w:hAnsi="Calibri" w:cs="Calibri"/>
          <w:bCs/>
          <w:sz w:val="22"/>
          <w:szCs w:val="22"/>
          <w:lang w:val="en-GB"/>
        </w:rPr>
        <w:t>Court of Justice of the European Union</w:t>
      </w:r>
    </w:p>
    <w:p w14:paraId="7C0A0670" w14:textId="411ABD15" w:rsidR="00BD71B7" w:rsidRPr="002E0BFE" w:rsidRDefault="00BD4F4B" w:rsidP="00BD71B7">
      <w:pPr>
        <w:jc w:val="both"/>
        <w:rPr>
          <w:rFonts w:ascii="Calibri" w:eastAsia="Calibri" w:hAnsi="Calibri" w:cs="Calibri"/>
          <w:b/>
          <w:color w:val="7731D8"/>
          <w:sz w:val="22"/>
          <w:szCs w:val="22"/>
          <w:lang w:val="en-GB"/>
        </w:rPr>
      </w:pPr>
      <w:r w:rsidRPr="002E0BFE">
        <w:rPr>
          <w:rFonts w:ascii="Calibri" w:eastAsia="Calibri" w:hAnsi="Calibri" w:cs="Calibri"/>
          <w:b/>
          <w:color w:val="7731D8"/>
          <w:sz w:val="22"/>
          <w:szCs w:val="22"/>
          <w:lang w:val="en-GB"/>
        </w:rPr>
        <w:t>EEA</w:t>
      </w:r>
      <w:r w:rsidR="002E0BFE" w:rsidRPr="002E0BFE">
        <w:rPr>
          <w:rFonts w:ascii="Calibri" w:eastAsia="Calibri" w:hAnsi="Calibri" w:cs="Calibri"/>
          <w:b/>
          <w:color w:val="7731D8"/>
          <w:sz w:val="22"/>
          <w:szCs w:val="22"/>
          <w:lang w:val="en-GB"/>
        </w:rPr>
        <w:t xml:space="preserve"> –</w:t>
      </w:r>
      <w:r w:rsidR="002E0BFE" w:rsidRPr="002E0BFE">
        <w:rPr>
          <w:rFonts w:ascii="Calibri" w:eastAsia="Calibri" w:hAnsi="Calibri" w:cs="Calibri"/>
          <w:bCs/>
          <w:sz w:val="22"/>
          <w:szCs w:val="22"/>
          <w:lang w:val="en-GB"/>
        </w:rPr>
        <w:t xml:space="preserve"> </w:t>
      </w:r>
      <w:r w:rsidR="00A858B3" w:rsidRPr="00A858B3">
        <w:rPr>
          <w:rFonts w:ascii="Calibri" w:eastAsia="Calibri" w:hAnsi="Calibri" w:cs="Calibri"/>
          <w:bCs/>
          <w:sz w:val="22"/>
          <w:szCs w:val="22"/>
          <w:lang w:val="en-GB"/>
        </w:rPr>
        <w:t>Employment Equity Act</w:t>
      </w:r>
    </w:p>
    <w:p w14:paraId="27A5E236" w14:textId="15F91403" w:rsidR="00BD71B7" w:rsidRPr="002E0BFE" w:rsidRDefault="00BD4F4B" w:rsidP="00BD71B7">
      <w:pPr>
        <w:jc w:val="both"/>
        <w:rPr>
          <w:rFonts w:ascii="Calibri" w:eastAsia="Calibri" w:hAnsi="Calibri" w:cs="Calibri"/>
          <w:b/>
          <w:color w:val="7731D8"/>
          <w:sz w:val="22"/>
          <w:szCs w:val="22"/>
          <w:lang w:val="en-GB"/>
        </w:rPr>
      </w:pPr>
      <w:r w:rsidRPr="002E0BFE">
        <w:rPr>
          <w:rFonts w:ascii="Calibri" w:eastAsia="Calibri" w:hAnsi="Calibri" w:cs="Calibri"/>
          <w:b/>
          <w:color w:val="7731D8"/>
          <w:sz w:val="22"/>
          <w:szCs w:val="22"/>
          <w:lang w:val="en-GB"/>
        </w:rPr>
        <w:t>LRA</w:t>
      </w:r>
      <w:r w:rsidR="002E0BFE" w:rsidRPr="002E0BFE">
        <w:rPr>
          <w:rFonts w:ascii="Calibri" w:eastAsia="Calibri" w:hAnsi="Calibri" w:cs="Calibri"/>
          <w:b/>
          <w:color w:val="7731D8"/>
          <w:sz w:val="22"/>
          <w:szCs w:val="22"/>
          <w:lang w:val="en-GB"/>
        </w:rPr>
        <w:t xml:space="preserve"> –</w:t>
      </w:r>
      <w:r w:rsidR="002E0BFE" w:rsidRPr="002E0BFE">
        <w:rPr>
          <w:rFonts w:ascii="Calibri" w:eastAsia="Calibri" w:hAnsi="Calibri" w:cs="Calibri"/>
          <w:bCs/>
          <w:sz w:val="22"/>
          <w:szCs w:val="22"/>
          <w:lang w:val="en-GB"/>
        </w:rPr>
        <w:t xml:space="preserve"> </w:t>
      </w:r>
      <w:r w:rsidR="00A858B3" w:rsidRPr="00A858B3">
        <w:rPr>
          <w:rFonts w:ascii="Calibri" w:eastAsia="Calibri" w:hAnsi="Calibri" w:cs="Calibri"/>
          <w:bCs/>
          <w:sz w:val="22"/>
          <w:szCs w:val="22"/>
          <w:lang w:val="en-GB"/>
        </w:rPr>
        <w:t>Labour Relations Act</w:t>
      </w:r>
    </w:p>
    <w:p w14:paraId="73B46F7A" w14:textId="5C930CCE" w:rsidR="00BD4F4B" w:rsidRPr="00A858B3" w:rsidRDefault="00BD4F4B" w:rsidP="00BD71B7">
      <w:pPr>
        <w:jc w:val="both"/>
        <w:rPr>
          <w:rFonts w:ascii="Calibri" w:eastAsia="Calibri" w:hAnsi="Calibri" w:cs="Calibri"/>
          <w:bCs/>
          <w:color w:val="7731D8"/>
          <w:sz w:val="22"/>
          <w:szCs w:val="22"/>
          <w:lang w:val="en-GB"/>
        </w:rPr>
      </w:pPr>
      <w:r w:rsidRPr="002E0BFE">
        <w:rPr>
          <w:rFonts w:ascii="Calibri" w:eastAsia="Calibri" w:hAnsi="Calibri" w:cs="Calibri"/>
          <w:b/>
          <w:color w:val="7731D8"/>
          <w:sz w:val="22"/>
          <w:szCs w:val="22"/>
          <w:lang w:val="en-GB"/>
        </w:rPr>
        <w:t>PEPUDA</w:t>
      </w:r>
      <w:r w:rsidR="002E0BFE" w:rsidRPr="002E0BFE">
        <w:rPr>
          <w:rFonts w:ascii="Calibri" w:eastAsia="Calibri" w:hAnsi="Calibri" w:cs="Calibri"/>
          <w:b/>
          <w:color w:val="7731D8"/>
          <w:sz w:val="22"/>
          <w:szCs w:val="22"/>
          <w:lang w:val="en-GB"/>
        </w:rPr>
        <w:t xml:space="preserve"> </w:t>
      </w:r>
      <w:r w:rsidR="002E0BFE">
        <w:rPr>
          <w:rFonts w:ascii="Calibri" w:eastAsia="Calibri" w:hAnsi="Calibri" w:cs="Calibri"/>
          <w:b/>
          <w:color w:val="7731D8"/>
          <w:sz w:val="22"/>
          <w:szCs w:val="22"/>
          <w:lang w:val="en-GB"/>
        </w:rPr>
        <w:t>–</w:t>
      </w:r>
      <w:r w:rsidR="002E0BFE" w:rsidRPr="002E0BFE">
        <w:rPr>
          <w:rFonts w:ascii="Calibri" w:eastAsia="Calibri" w:hAnsi="Calibri" w:cs="Calibri"/>
          <w:bCs/>
          <w:sz w:val="22"/>
          <w:szCs w:val="22"/>
          <w:lang w:val="en-GB"/>
        </w:rPr>
        <w:t xml:space="preserve"> </w:t>
      </w:r>
      <w:r w:rsidR="00A858B3" w:rsidRPr="00A858B3">
        <w:rPr>
          <w:rFonts w:ascii="Calibri" w:eastAsia="Calibri" w:hAnsi="Calibri" w:cs="Calibri"/>
          <w:bCs/>
          <w:sz w:val="22"/>
          <w:szCs w:val="22"/>
          <w:lang w:val="en-GB"/>
        </w:rPr>
        <w:t>Promotion of Equality and Prevention of Unfair Discrimination Act</w:t>
      </w:r>
    </w:p>
    <w:p w14:paraId="21E3FE45" w14:textId="4D0C2B22" w:rsidR="00BD71B7" w:rsidRPr="002E0BFE" w:rsidRDefault="0055530E" w:rsidP="00BD71B7">
      <w:pPr>
        <w:jc w:val="both"/>
        <w:rPr>
          <w:rFonts w:ascii="Calibri" w:eastAsia="Calibri" w:hAnsi="Calibri" w:cs="Calibri"/>
          <w:b/>
          <w:color w:val="7731D8"/>
          <w:sz w:val="22"/>
          <w:szCs w:val="22"/>
          <w:lang w:val="en-GB"/>
        </w:rPr>
      </w:pPr>
      <w:r w:rsidRPr="002E0BFE">
        <w:rPr>
          <w:rFonts w:ascii="Calibri" w:eastAsia="Calibri" w:hAnsi="Calibri" w:cs="Calibri"/>
          <w:b/>
          <w:color w:val="7731D8"/>
          <w:sz w:val="22"/>
          <w:szCs w:val="22"/>
          <w:lang w:val="en-GB"/>
        </w:rPr>
        <w:t>BCEA</w:t>
      </w:r>
      <w:r w:rsidR="002E0BFE" w:rsidRPr="002E0BFE">
        <w:rPr>
          <w:rFonts w:ascii="Calibri" w:eastAsia="Calibri" w:hAnsi="Calibri" w:cs="Calibri"/>
          <w:b/>
          <w:color w:val="7731D8"/>
          <w:sz w:val="22"/>
          <w:szCs w:val="22"/>
          <w:lang w:val="en-GB"/>
        </w:rPr>
        <w:t xml:space="preserve"> </w:t>
      </w:r>
      <w:r w:rsidR="002E0BFE">
        <w:rPr>
          <w:rFonts w:ascii="Calibri" w:eastAsia="Calibri" w:hAnsi="Calibri" w:cs="Calibri"/>
          <w:b/>
          <w:color w:val="7731D8"/>
          <w:sz w:val="22"/>
          <w:szCs w:val="22"/>
          <w:lang w:val="en-GB"/>
        </w:rPr>
        <w:t>–</w:t>
      </w:r>
      <w:r w:rsidR="002E0BFE" w:rsidRPr="002E0BFE">
        <w:rPr>
          <w:rFonts w:ascii="Calibri" w:eastAsia="Calibri" w:hAnsi="Calibri" w:cs="Calibri"/>
          <w:bCs/>
          <w:sz w:val="22"/>
          <w:szCs w:val="22"/>
          <w:lang w:val="en-GB"/>
        </w:rPr>
        <w:t xml:space="preserve"> </w:t>
      </w:r>
      <w:r w:rsidR="00A858B3" w:rsidRPr="00A858B3">
        <w:rPr>
          <w:rFonts w:ascii="Calibri" w:eastAsia="Calibri" w:hAnsi="Calibri" w:cs="Calibri"/>
          <w:bCs/>
          <w:sz w:val="22"/>
          <w:szCs w:val="22"/>
          <w:lang w:val="en-GB"/>
        </w:rPr>
        <w:t>Basic Conditions of Employment Act</w:t>
      </w:r>
    </w:p>
    <w:p w14:paraId="429E6FF0" w14:textId="418C2AB1" w:rsidR="00BD71B7" w:rsidRPr="002E0BFE" w:rsidRDefault="0055530E" w:rsidP="00BD71B7">
      <w:pPr>
        <w:jc w:val="both"/>
        <w:rPr>
          <w:rFonts w:ascii="Calibri" w:eastAsia="Calibri" w:hAnsi="Calibri" w:cs="Calibri"/>
          <w:b/>
          <w:color w:val="7731D8"/>
          <w:sz w:val="22"/>
          <w:szCs w:val="22"/>
          <w:lang w:val="en-GB"/>
        </w:rPr>
      </w:pPr>
      <w:r w:rsidRPr="002E0BFE">
        <w:rPr>
          <w:rFonts w:ascii="Calibri" w:eastAsia="Calibri" w:hAnsi="Calibri" w:cs="Calibri"/>
          <w:b/>
          <w:color w:val="7731D8"/>
          <w:sz w:val="22"/>
          <w:szCs w:val="22"/>
          <w:lang w:val="en-GB"/>
        </w:rPr>
        <w:t>ECC</w:t>
      </w:r>
      <w:r w:rsidR="002E0BFE" w:rsidRPr="002E0BFE">
        <w:rPr>
          <w:rFonts w:ascii="Calibri" w:eastAsia="Calibri" w:hAnsi="Calibri" w:cs="Calibri"/>
          <w:b/>
          <w:color w:val="7731D8"/>
          <w:sz w:val="22"/>
          <w:szCs w:val="22"/>
          <w:lang w:val="en-GB"/>
        </w:rPr>
        <w:t xml:space="preserve"> </w:t>
      </w:r>
      <w:r w:rsidR="002E0BFE">
        <w:rPr>
          <w:rFonts w:ascii="Calibri" w:eastAsia="Calibri" w:hAnsi="Calibri" w:cs="Calibri"/>
          <w:b/>
          <w:color w:val="7731D8"/>
          <w:sz w:val="22"/>
          <w:szCs w:val="22"/>
          <w:lang w:val="en-GB"/>
        </w:rPr>
        <w:t>–</w:t>
      </w:r>
      <w:r w:rsidR="002E0BFE" w:rsidRPr="002E0BFE">
        <w:rPr>
          <w:rFonts w:ascii="Calibri" w:eastAsia="Calibri" w:hAnsi="Calibri" w:cs="Calibri"/>
          <w:bCs/>
          <w:sz w:val="22"/>
          <w:szCs w:val="22"/>
          <w:lang w:val="en-GB"/>
        </w:rPr>
        <w:t xml:space="preserve"> </w:t>
      </w:r>
      <w:r w:rsidR="00A858B3">
        <w:rPr>
          <w:rFonts w:ascii="Calibri" w:eastAsia="Calibri" w:hAnsi="Calibri" w:cs="Calibri"/>
          <w:bCs/>
          <w:sz w:val="22"/>
          <w:szCs w:val="22"/>
          <w:lang w:val="en-GB"/>
        </w:rPr>
        <w:t>Employment Conditions Commission</w:t>
      </w:r>
    </w:p>
    <w:p w14:paraId="53391FFB" w14:textId="444D37CD" w:rsidR="00BD71B7" w:rsidRDefault="00F31BFA" w:rsidP="00BD71B7">
      <w:pPr>
        <w:jc w:val="both"/>
        <w:rPr>
          <w:rFonts w:ascii="Calibri" w:eastAsia="Calibri" w:hAnsi="Calibri" w:cs="Calibri"/>
          <w:bCs/>
          <w:sz w:val="22"/>
          <w:szCs w:val="22"/>
          <w:lang w:val="en-GB"/>
        </w:rPr>
      </w:pPr>
      <w:r>
        <w:rPr>
          <w:rFonts w:ascii="Calibri" w:eastAsia="Calibri" w:hAnsi="Calibri" w:cs="Calibri"/>
          <w:b/>
          <w:color w:val="7731D8"/>
          <w:sz w:val="22"/>
          <w:szCs w:val="22"/>
          <w:lang w:val="en-GB"/>
        </w:rPr>
        <w:t xml:space="preserve">OECD – </w:t>
      </w:r>
      <w:r w:rsidRPr="00F31BFA">
        <w:rPr>
          <w:rFonts w:ascii="Calibri" w:eastAsia="Calibri" w:hAnsi="Calibri" w:cs="Calibri"/>
          <w:bCs/>
          <w:sz w:val="22"/>
          <w:szCs w:val="22"/>
          <w:lang w:val="en-GB"/>
        </w:rPr>
        <w:t>Organisation for Economic Co-operation and Development</w:t>
      </w:r>
    </w:p>
    <w:p w14:paraId="419B194C" w14:textId="07ED6CD7" w:rsidR="00E87F5B" w:rsidRDefault="00E87F5B" w:rsidP="00BD71B7">
      <w:pPr>
        <w:jc w:val="both"/>
        <w:rPr>
          <w:rFonts w:ascii="Calibri" w:eastAsia="Calibri" w:hAnsi="Calibri" w:cs="Calibri"/>
          <w:bCs/>
          <w:sz w:val="22"/>
          <w:szCs w:val="22"/>
          <w:lang w:val="en-GB"/>
        </w:rPr>
      </w:pPr>
      <w:r>
        <w:rPr>
          <w:rFonts w:ascii="Calibri" w:eastAsia="Calibri" w:hAnsi="Calibri" w:cs="Calibri"/>
          <w:b/>
          <w:color w:val="7731D8"/>
          <w:sz w:val="22"/>
          <w:szCs w:val="22"/>
          <w:lang w:val="en-GB"/>
        </w:rPr>
        <w:t>UK</w:t>
      </w:r>
      <w:r>
        <w:rPr>
          <w:rFonts w:ascii="Calibri" w:eastAsia="Calibri" w:hAnsi="Calibri" w:cs="Calibri"/>
          <w:bCs/>
          <w:sz w:val="22"/>
          <w:szCs w:val="22"/>
          <w:lang w:val="en-GB"/>
        </w:rPr>
        <w:t>: United Kingdom</w:t>
      </w:r>
    </w:p>
    <w:p w14:paraId="7FC6D948" w14:textId="619AE31C" w:rsidR="00E87F5B" w:rsidRPr="00F31BFA" w:rsidRDefault="00E87F5B" w:rsidP="00BD71B7">
      <w:pPr>
        <w:jc w:val="both"/>
        <w:rPr>
          <w:rFonts w:ascii="Calibri" w:eastAsia="Calibri" w:hAnsi="Calibri" w:cs="Calibri"/>
          <w:b/>
          <w:color w:val="7731D8"/>
          <w:sz w:val="22"/>
          <w:szCs w:val="22"/>
          <w:lang w:val="en-GB"/>
        </w:rPr>
      </w:pPr>
      <w:r>
        <w:rPr>
          <w:rFonts w:ascii="Calibri" w:eastAsia="Calibri" w:hAnsi="Calibri" w:cs="Calibri"/>
          <w:b/>
          <w:color w:val="7731D8"/>
          <w:sz w:val="22"/>
          <w:szCs w:val="22"/>
          <w:lang w:val="en-GB"/>
        </w:rPr>
        <w:t>SA</w:t>
      </w:r>
      <w:r>
        <w:rPr>
          <w:rFonts w:ascii="Calibri" w:eastAsia="Calibri" w:hAnsi="Calibri" w:cs="Calibri"/>
          <w:bCs/>
          <w:sz w:val="22"/>
          <w:szCs w:val="22"/>
          <w:lang w:val="en-GB"/>
        </w:rPr>
        <w:t>: South Africa</w:t>
      </w:r>
    </w:p>
    <w:p w14:paraId="518CB933" w14:textId="77777777" w:rsidR="00BD71B7" w:rsidRPr="002E0BFE" w:rsidRDefault="00BD71B7" w:rsidP="00BD71B7">
      <w:pPr>
        <w:jc w:val="both"/>
        <w:rPr>
          <w:rFonts w:ascii="Calibri" w:eastAsia="Calibri" w:hAnsi="Calibri" w:cs="Calibri"/>
          <w:b/>
          <w:color w:val="7731D8"/>
          <w:sz w:val="22"/>
          <w:szCs w:val="22"/>
          <w:lang w:val="en-GB"/>
        </w:rPr>
      </w:pPr>
    </w:p>
    <w:p w14:paraId="1EA9AB47" w14:textId="77777777" w:rsidR="00BD71B7" w:rsidRPr="002E0BFE" w:rsidRDefault="00BD71B7" w:rsidP="00BD71B7">
      <w:pPr>
        <w:jc w:val="both"/>
        <w:rPr>
          <w:rFonts w:ascii="Calibri" w:eastAsia="Calibri" w:hAnsi="Calibri" w:cs="Calibri"/>
          <w:b/>
          <w:color w:val="7731D8"/>
          <w:sz w:val="22"/>
          <w:szCs w:val="22"/>
          <w:lang w:val="en-GB"/>
        </w:rPr>
      </w:pPr>
    </w:p>
    <w:p w14:paraId="5DE7569C" w14:textId="77777777" w:rsidR="00BD71B7" w:rsidRPr="002E0BFE" w:rsidRDefault="00BD71B7" w:rsidP="00BD71B7">
      <w:pPr>
        <w:jc w:val="both"/>
        <w:rPr>
          <w:rFonts w:ascii="Calibri" w:eastAsia="Calibri" w:hAnsi="Calibri" w:cs="Calibri"/>
          <w:b/>
          <w:color w:val="7731D8"/>
          <w:sz w:val="22"/>
          <w:szCs w:val="22"/>
          <w:lang w:val="en-GB"/>
        </w:rPr>
      </w:pPr>
    </w:p>
    <w:p w14:paraId="0EF29476" w14:textId="77777777" w:rsidR="00BD71B7" w:rsidRPr="002E0BFE" w:rsidRDefault="00BD71B7" w:rsidP="00BD71B7">
      <w:pPr>
        <w:jc w:val="both"/>
        <w:rPr>
          <w:rFonts w:ascii="Calibri" w:eastAsia="Calibri" w:hAnsi="Calibri" w:cs="Calibri"/>
          <w:b/>
          <w:color w:val="7731D8"/>
          <w:sz w:val="22"/>
          <w:szCs w:val="22"/>
          <w:lang w:val="en-GB"/>
        </w:rPr>
      </w:pPr>
    </w:p>
    <w:p w14:paraId="0B363B07" w14:textId="77777777" w:rsidR="00BD71B7" w:rsidRPr="002E0BFE" w:rsidRDefault="00BD71B7" w:rsidP="00BD71B7">
      <w:pPr>
        <w:jc w:val="both"/>
        <w:rPr>
          <w:rFonts w:ascii="Calibri" w:eastAsia="Calibri" w:hAnsi="Calibri" w:cs="Calibri"/>
          <w:b/>
          <w:color w:val="7731D8"/>
          <w:sz w:val="22"/>
          <w:szCs w:val="22"/>
          <w:lang w:val="en-GB"/>
        </w:rPr>
      </w:pPr>
    </w:p>
    <w:p w14:paraId="3A832BF3" w14:textId="77777777" w:rsidR="00BD71B7" w:rsidRPr="002E0BFE" w:rsidRDefault="00BD71B7" w:rsidP="00BD71B7">
      <w:pPr>
        <w:jc w:val="both"/>
        <w:rPr>
          <w:rFonts w:ascii="Calibri" w:eastAsia="Calibri" w:hAnsi="Calibri" w:cs="Calibri"/>
          <w:b/>
          <w:color w:val="7731D8"/>
          <w:sz w:val="22"/>
          <w:szCs w:val="22"/>
          <w:lang w:val="en-GB"/>
        </w:rPr>
      </w:pPr>
    </w:p>
    <w:p w14:paraId="5539C9CA" w14:textId="77777777" w:rsidR="00BD71B7" w:rsidRPr="002E0BFE" w:rsidRDefault="00BD71B7" w:rsidP="00BD71B7">
      <w:pPr>
        <w:jc w:val="both"/>
        <w:rPr>
          <w:rFonts w:ascii="Calibri" w:eastAsia="Calibri" w:hAnsi="Calibri" w:cs="Calibri"/>
          <w:b/>
          <w:color w:val="7731D8"/>
          <w:sz w:val="22"/>
          <w:szCs w:val="22"/>
          <w:lang w:val="en-GB"/>
        </w:rPr>
      </w:pPr>
    </w:p>
    <w:p w14:paraId="24FF3349" w14:textId="77777777" w:rsidR="00BD71B7" w:rsidRPr="002E0BFE" w:rsidRDefault="00BD71B7" w:rsidP="00BD71B7">
      <w:pPr>
        <w:jc w:val="both"/>
        <w:rPr>
          <w:rFonts w:ascii="Calibri" w:eastAsia="Calibri" w:hAnsi="Calibri" w:cs="Calibri"/>
          <w:b/>
          <w:color w:val="7731D8"/>
          <w:sz w:val="22"/>
          <w:szCs w:val="22"/>
          <w:lang w:val="en-GB"/>
        </w:rPr>
      </w:pPr>
    </w:p>
    <w:p w14:paraId="6D5F3662" w14:textId="77777777" w:rsidR="00BD71B7" w:rsidRPr="002E0BFE" w:rsidRDefault="00BD71B7" w:rsidP="00BD71B7">
      <w:pPr>
        <w:jc w:val="both"/>
        <w:rPr>
          <w:rFonts w:ascii="Calibri" w:eastAsia="Calibri" w:hAnsi="Calibri" w:cs="Calibri"/>
          <w:b/>
          <w:color w:val="7731D8"/>
          <w:sz w:val="22"/>
          <w:szCs w:val="22"/>
          <w:lang w:val="en-GB"/>
        </w:rPr>
      </w:pPr>
    </w:p>
    <w:p w14:paraId="78B636A6" w14:textId="77777777" w:rsidR="00BD71B7" w:rsidRPr="002E0BFE" w:rsidRDefault="00BD71B7" w:rsidP="00BD71B7">
      <w:pPr>
        <w:jc w:val="both"/>
        <w:rPr>
          <w:rFonts w:ascii="Calibri" w:eastAsia="Calibri" w:hAnsi="Calibri" w:cs="Calibri"/>
          <w:b/>
          <w:color w:val="7731D8"/>
          <w:sz w:val="22"/>
          <w:szCs w:val="22"/>
          <w:lang w:val="en-GB"/>
        </w:rPr>
      </w:pPr>
    </w:p>
    <w:p w14:paraId="015B7179" w14:textId="77777777" w:rsidR="00BD71B7" w:rsidRPr="002E0BFE" w:rsidRDefault="00BD71B7" w:rsidP="00BD71B7">
      <w:pPr>
        <w:jc w:val="both"/>
        <w:rPr>
          <w:rFonts w:ascii="Calibri" w:eastAsia="Calibri" w:hAnsi="Calibri" w:cs="Calibri"/>
          <w:b/>
          <w:color w:val="7731D8"/>
          <w:sz w:val="22"/>
          <w:szCs w:val="22"/>
          <w:lang w:val="en-GB"/>
        </w:rPr>
      </w:pPr>
    </w:p>
    <w:p w14:paraId="2C1CE97A" w14:textId="77777777" w:rsidR="00BD71B7" w:rsidRPr="002E0BFE" w:rsidRDefault="00BD71B7" w:rsidP="00BD71B7">
      <w:pPr>
        <w:jc w:val="both"/>
        <w:rPr>
          <w:rFonts w:ascii="Calibri" w:eastAsia="Calibri" w:hAnsi="Calibri" w:cs="Calibri"/>
          <w:b/>
          <w:color w:val="7731D8"/>
          <w:sz w:val="22"/>
          <w:szCs w:val="22"/>
          <w:lang w:val="en-GB"/>
        </w:rPr>
      </w:pPr>
    </w:p>
    <w:p w14:paraId="6C35C1D7" w14:textId="77777777" w:rsidR="00BD71B7" w:rsidRPr="002E0BFE" w:rsidRDefault="00BD71B7" w:rsidP="00BD71B7">
      <w:pPr>
        <w:jc w:val="both"/>
        <w:rPr>
          <w:rFonts w:ascii="Calibri" w:eastAsia="Calibri" w:hAnsi="Calibri" w:cs="Calibri"/>
          <w:b/>
          <w:color w:val="7731D8"/>
          <w:sz w:val="22"/>
          <w:szCs w:val="22"/>
          <w:lang w:val="en-GB"/>
        </w:rPr>
      </w:pPr>
    </w:p>
    <w:p w14:paraId="655A363F" w14:textId="77777777" w:rsidR="00BD71B7" w:rsidRPr="002E0BFE" w:rsidRDefault="00BD71B7" w:rsidP="00BD71B7">
      <w:pPr>
        <w:jc w:val="both"/>
        <w:rPr>
          <w:rFonts w:ascii="Calibri" w:eastAsia="Calibri" w:hAnsi="Calibri" w:cs="Calibri"/>
          <w:b/>
          <w:color w:val="7731D8"/>
          <w:sz w:val="22"/>
          <w:szCs w:val="22"/>
          <w:lang w:val="en-GB"/>
        </w:rPr>
      </w:pPr>
    </w:p>
    <w:p w14:paraId="50E00EF0" w14:textId="77777777" w:rsidR="00BD71B7" w:rsidRPr="002E0BFE" w:rsidRDefault="00BD71B7" w:rsidP="00BD71B7">
      <w:pPr>
        <w:jc w:val="both"/>
        <w:rPr>
          <w:rFonts w:ascii="Calibri" w:eastAsia="Calibri" w:hAnsi="Calibri" w:cs="Calibri"/>
          <w:b/>
          <w:color w:val="7731D8"/>
          <w:sz w:val="22"/>
          <w:szCs w:val="22"/>
          <w:lang w:val="en-GB"/>
        </w:rPr>
      </w:pPr>
    </w:p>
    <w:p w14:paraId="3EA9F749" w14:textId="77777777" w:rsidR="00BD71B7" w:rsidRPr="002E0BFE" w:rsidRDefault="00BD71B7" w:rsidP="00BD71B7">
      <w:pPr>
        <w:jc w:val="both"/>
        <w:rPr>
          <w:rFonts w:ascii="Calibri" w:eastAsia="Calibri" w:hAnsi="Calibri" w:cs="Calibri"/>
          <w:b/>
          <w:color w:val="7731D8"/>
          <w:sz w:val="22"/>
          <w:szCs w:val="22"/>
          <w:lang w:val="en-GB"/>
        </w:rPr>
      </w:pPr>
    </w:p>
    <w:p w14:paraId="19808D27" w14:textId="77777777" w:rsidR="00BD71B7" w:rsidRPr="002E0BFE" w:rsidRDefault="00BD71B7" w:rsidP="00BD71B7">
      <w:pPr>
        <w:jc w:val="both"/>
        <w:rPr>
          <w:rFonts w:ascii="Calibri" w:eastAsia="Calibri" w:hAnsi="Calibri" w:cs="Calibri"/>
          <w:b/>
          <w:color w:val="7731D8"/>
          <w:sz w:val="22"/>
          <w:szCs w:val="22"/>
          <w:lang w:val="en-GB"/>
        </w:rPr>
      </w:pPr>
    </w:p>
    <w:p w14:paraId="73B3DEA4" w14:textId="77777777" w:rsidR="00BD71B7" w:rsidRPr="002E0BFE" w:rsidRDefault="00BD71B7" w:rsidP="00BD71B7">
      <w:pPr>
        <w:jc w:val="both"/>
        <w:rPr>
          <w:rFonts w:ascii="Calibri" w:eastAsia="Calibri" w:hAnsi="Calibri" w:cs="Calibri"/>
          <w:b/>
          <w:color w:val="7731D8"/>
          <w:sz w:val="22"/>
          <w:szCs w:val="22"/>
          <w:lang w:val="en-GB"/>
        </w:rPr>
      </w:pPr>
    </w:p>
    <w:p w14:paraId="567132BC" w14:textId="77777777" w:rsidR="00BD71B7" w:rsidRPr="002E0BFE" w:rsidRDefault="00BD71B7" w:rsidP="00BD71B7">
      <w:pPr>
        <w:jc w:val="both"/>
        <w:rPr>
          <w:rFonts w:ascii="Calibri" w:eastAsia="Calibri" w:hAnsi="Calibri" w:cs="Calibri"/>
          <w:b/>
          <w:color w:val="7731D8"/>
          <w:sz w:val="22"/>
          <w:szCs w:val="22"/>
          <w:lang w:val="en-GB"/>
        </w:rPr>
      </w:pPr>
    </w:p>
    <w:p w14:paraId="4FB44B8F" w14:textId="77777777" w:rsidR="00BD71B7" w:rsidRPr="002E0BFE" w:rsidRDefault="00BD71B7" w:rsidP="00BD71B7">
      <w:pPr>
        <w:jc w:val="both"/>
        <w:rPr>
          <w:rFonts w:ascii="Calibri" w:eastAsia="Calibri" w:hAnsi="Calibri" w:cs="Calibri"/>
          <w:b/>
          <w:color w:val="7731D8"/>
          <w:sz w:val="22"/>
          <w:szCs w:val="22"/>
          <w:lang w:val="en-GB"/>
        </w:rPr>
      </w:pPr>
    </w:p>
    <w:p w14:paraId="52C3910D" w14:textId="77777777" w:rsidR="00BD71B7" w:rsidRPr="002E0BFE" w:rsidRDefault="00BD71B7" w:rsidP="00BD71B7">
      <w:pPr>
        <w:jc w:val="both"/>
        <w:rPr>
          <w:rFonts w:ascii="Calibri" w:eastAsia="Calibri" w:hAnsi="Calibri" w:cs="Calibri"/>
          <w:b/>
          <w:color w:val="7731D8"/>
          <w:sz w:val="22"/>
          <w:szCs w:val="22"/>
          <w:lang w:val="en-GB"/>
        </w:rPr>
      </w:pPr>
    </w:p>
    <w:p w14:paraId="33A09357" w14:textId="77777777" w:rsidR="00BD71B7" w:rsidRPr="002E0BFE" w:rsidRDefault="00BD71B7" w:rsidP="00BD71B7">
      <w:pPr>
        <w:jc w:val="both"/>
        <w:rPr>
          <w:rFonts w:ascii="Calibri" w:eastAsia="Calibri" w:hAnsi="Calibri" w:cs="Calibri"/>
          <w:b/>
          <w:color w:val="7731D8"/>
          <w:sz w:val="22"/>
          <w:szCs w:val="22"/>
          <w:lang w:val="en-GB"/>
        </w:rPr>
      </w:pPr>
    </w:p>
    <w:p w14:paraId="32412E7F" w14:textId="77777777" w:rsidR="00BD71B7" w:rsidRPr="002E0BFE" w:rsidRDefault="00BD71B7" w:rsidP="00BD71B7">
      <w:pPr>
        <w:jc w:val="both"/>
        <w:rPr>
          <w:rFonts w:ascii="Calibri" w:eastAsia="Calibri" w:hAnsi="Calibri" w:cs="Calibri"/>
          <w:b/>
          <w:color w:val="7731D8"/>
          <w:sz w:val="22"/>
          <w:szCs w:val="22"/>
          <w:lang w:val="en-GB"/>
        </w:rPr>
      </w:pPr>
    </w:p>
    <w:p w14:paraId="09A19954" w14:textId="77777777" w:rsidR="00BD71B7" w:rsidRPr="002E0BFE" w:rsidRDefault="00BD71B7" w:rsidP="00BD71B7">
      <w:pPr>
        <w:jc w:val="both"/>
        <w:rPr>
          <w:rFonts w:ascii="Calibri" w:eastAsia="Calibri" w:hAnsi="Calibri" w:cs="Calibri"/>
          <w:b/>
          <w:color w:val="7731D8"/>
          <w:sz w:val="22"/>
          <w:szCs w:val="22"/>
          <w:lang w:val="en-GB"/>
        </w:rPr>
      </w:pPr>
    </w:p>
    <w:p w14:paraId="1783E12B" w14:textId="77777777" w:rsidR="00BD71B7" w:rsidRPr="002E0BFE" w:rsidRDefault="00BD71B7" w:rsidP="00BD71B7">
      <w:pPr>
        <w:jc w:val="both"/>
        <w:rPr>
          <w:rFonts w:ascii="Calibri" w:eastAsia="Calibri" w:hAnsi="Calibri" w:cs="Calibri"/>
          <w:b/>
          <w:color w:val="7731D8"/>
          <w:sz w:val="22"/>
          <w:szCs w:val="22"/>
          <w:lang w:val="en-GB"/>
        </w:rPr>
      </w:pPr>
    </w:p>
    <w:p w14:paraId="3961E432" w14:textId="77777777" w:rsidR="00BD71B7" w:rsidRPr="002E0BFE" w:rsidRDefault="00BD71B7" w:rsidP="00BD71B7">
      <w:pPr>
        <w:jc w:val="both"/>
        <w:rPr>
          <w:rFonts w:ascii="Calibri" w:eastAsia="Calibri" w:hAnsi="Calibri" w:cs="Calibri"/>
          <w:b/>
          <w:color w:val="7731D8"/>
          <w:sz w:val="22"/>
          <w:szCs w:val="22"/>
          <w:lang w:val="en-GB"/>
        </w:rPr>
      </w:pPr>
    </w:p>
    <w:p w14:paraId="2A4FE688" w14:textId="77777777" w:rsidR="00A858B3" w:rsidRDefault="00A858B3" w:rsidP="00BD71B7">
      <w:pPr>
        <w:jc w:val="both"/>
        <w:rPr>
          <w:rFonts w:ascii="Calibri" w:eastAsia="Calibri" w:hAnsi="Calibri" w:cs="Calibri"/>
          <w:b/>
          <w:color w:val="7731D8"/>
          <w:lang w:val="en-GB"/>
        </w:rPr>
      </w:pPr>
    </w:p>
    <w:p w14:paraId="01EC2B31" w14:textId="105F125B" w:rsidR="00BD71B7" w:rsidRPr="00F03FA2" w:rsidRDefault="009B6EA6" w:rsidP="00097F8D">
      <w:pPr>
        <w:pStyle w:val="Heading1"/>
        <w:rPr>
          <w:color w:val="000000"/>
        </w:rPr>
      </w:pPr>
      <w:bookmarkStart w:id="2" w:name="_Toc211587521"/>
      <w:r>
        <w:t>1.</w:t>
      </w:r>
      <w:r w:rsidR="00BD71B7" w:rsidRPr="00F03FA2">
        <w:t>Introduction</w:t>
      </w:r>
      <w:bookmarkEnd w:id="2"/>
    </w:p>
    <w:p w14:paraId="4B4D347E" w14:textId="77777777" w:rsidR="007F395E" w:rsidRDefault="007F395E" w:rsidP="00BD71B7">
      <w:pPr>
        <w:jc w:val="both"/>
        <w:rPr>
          <w:rFonts w:ascii="Calibri" w:eastAsia="Calibri" w:hAnsi="Calibri" w:cs="Calibri"/>
          <w:color w:val="000000"/>
          <w:sz w:val="22"/>
          <w:szCs w:val="22"/>
          <w:lang w:val="en-GB"/>
        </w:rPr>
      </w:pPr>
    </w:p>
    <w:p w14:paraId="5B3D1959" w14:textId="1199909B"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xml:space="preserve">This research is part of the </w:t>
      </w:r>
      <w:r w:rsidRPr="00BD71B7">
        <w:rPr>
          <w:rFonts w:ascii="Calibri" w:eastAsia="Calibri" w:hAnsi="Calibri" w:cs="Calibri"/>
          <w:b/>
          <w:color w:val="000000"/>
          <w:sz w:val="22"/>
          <w:szCs w:val="22"/>
          <w:lang w:val="en-GB"/>
        </w:rPr>
        <w:t>RE-WIRING Work Package 4</w:t>
      </w:r>
      <w:r w:rsidRPr="00BD71B7">
        <w:rPr>
          <w:rFonts w:ascii="Calibri" w:eastAsia="Calibri" w:hAnsi="Calibri" w:cs="Calibri"/>
          <w:color w:val="000000"/>
          <w:sz w:val="22"/>
          <w:szCs w:val="22"/>
          <w:lang w:val="en-GB"/>
        </w:rPr>
        <w:t xml:space="preserve"> (WP4) on </w:t>
      </w:r>
      <w:r w:rsidRPr="00BD71B7">
        <w:rPr>
          <w:rFonts w:ascii="Calibri" w:eastAsia="Calibri" w:hAnsi="Calibri" w:cs="Calibri"/>
          <w:b/>
          <w:color w:val="000000"/>
          <w:sz w:val="22"/>
          <w:szCs w:val="22"/>
          <w:lang w:val="en-GB"/>
        </w:rPr>
        <w:t>Gender Gaps in Employment and Enterprise</w:t>
      </w:r>
      <w:r w:rsidRPr="00BD71B7">
        <w:rPr>
          <w:rFonts w:ascii="Calibri" w:eastAsia="Calibri" w:hAnsi="Calibri" w:cs="Calibri"/>
          <w:color w:val="000000"/>
          <w:sz w:val="22"/>
          <w:szCs w:val="22"/>
          <w:lang w:val="en-GB"/>
        </w:rPr>
        <w:t>. The overarching objective of WP4 is to help stakeholders and policymakers address gaps in labour force representation, pay, pensions and work-family roles by designing and delivering innovative practical solutions. Using a mixed methods approach, the deliverables for WP4 are designed to translate theoretical insights and better practices into directly usable tools and training toolkits that will allow governments and organisations to identify areas of improvement and effect real change in the short, medium and long term.</w:t>
      </w:r>
      <w:r w:rsidRPr="00BD71B7">
        <w:rPr>
          <w:rFonts w:ascii="Calibri" w:eastAsia="Calibri" w:hAnsi="Calibri" w:cs="Calibri"/>
          <w:color w:val="000000"/>
          <w:sz w:val="22"/>
          <w:szCs w:val="22"/>
          <w:vertAlign w:val="superscript"/>
          <w:lang w:val="en-GB"/>
        </w:rPr>
        <w:footnoteReference w:id="10"/>
      </w:r>
      <w:r w:rsidRPr="00BD71B7">
        <w:rPr>
          <w:rFonts w:ascii="Calibri" w:eastAsia="Calibri" w:hAnsi="Calibri" w:cs="Calibri"/>
          <w:color w:val="000000"/>
          <w:sz w:val="22"/>
          <w:szCs w:val="22"/>
          <w:lang w:val="en-GB"/>
        </w:rPr>
        <w:t xml:space="preserve"> </w:t>
      </w:r>
    </w:p>
    <w:p w14:paraId="52026145" w14:textId="77777777" w:rsidR="00BD71B7" w:rsidRPr="00BD71B7" w:rsidRDefault="00BD71B7" w:rsidP="00BD71B7">
      <w:pPr>
        <w:jc w:val="both"/>
        <w:rPr>
          <w:rFonts w:ascii="Calibri" w:eastAsia="Calibri" w:hAnsi="Calibri" w:cs="Calibri"/>
          <w:color w:val="000000"/>
          <w:sz w:val="22"/>
          <w:szCs w:val="22"/>
          <w:lang w:val="en-GB"/>
        </w:rPr>
      </w:pPr>
    </w:p>
    <w:p w14:paraId="405A6A29"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xml:space="preserve">Following this, the objectives of the work that underpin the delivery of D4.2 is twofold: First, to provide a clear and comprehensive overview of the current state of the gender pay gap (GPG) equal pay and transparency legislation in Europe and South Africa; Second, to develop and present a good practice map featuring concrete, actionable strategies to address gender pay inequalities. This work is particularly timely in light of the </w:t>
      </w:r>
      <w:r w:rsidRPr="00BD71B7">
        <w:rPr>
          <w:rFonts w:ascii="Calibri" w:eastAsia="Calibri" w:hAnsi="Calibri" w:cs="Calibri"/>
          <w:b/>
          <w:color w:val="000000"/>
          <w:sz w:val="22"/>
          <w:szCs w:val="22"/>
          <w:lang w:val="en-GB"/>
        </w:rPr>
        <w:t>forthcoming EU PTD</w:t>
      </w:r>
      <w:r w:rsidRPr="00BD71B7">
        <w:rPr>
          <w:rFonts w:ascii="Calibri" w:eastAsia="Calibri" w:hAnsi="Calibri" w:cs="Calibri"/>
          <w:color w:val="000000"/>
          <w:sz w:val="22"/>
          <w:szCs w:val="22"/>
          <w:lang w:val="en-GB"/>
        </w:rPr>
        <w:t xml:space="preserve">, which represents a significant change in the legal landscape and reinforces the urgency of addressing the gender pay gap through structural, transparency-led interventions that address its root causes. Hence, D4.2 supports stakeholders in moving from awareness to action, offering a practical tool to navigate this shift towards greater transparency and implement meaningful change while complying with the new EU rules. In line with the TEA methodology, this process involved a critical analysis of </w:t>
      </w:r>
      <w:r w:rsidRPr="00BD71B7">
        <w:rPr>
          <w:rFonts w:ascii="Calibri" w:eastAsia="Calibri" w:hAnsi="Calibri" w:cs="Calibri"/>
          <w:b/>
          <w:color w:val="000000"/>
          <w:sz w:val="22"/>
          <w:szCs w:val="22"/>
          <w:lang w:val="en-GB"/>
        </w:rPr>
        <w:t>existing literature</w:t>
      </w:r>
      <w:r w:rsidRPr="00BD71B7">
        <w:rPr>
          <w:rFonts w:ascii="Calibri" w:eastAsia="Calibri" w:hAnsi="Calibri" w:cs="Calibri"/>
          <w:color w:val="000000"/>
          <w:sz w:val="22"/>
          <w:szCs w:val="22"/>
          <w:lang w:val="en-GB"/>
        </w:rPr>
        <w:t xml:space="preserve"> on the theories explaining the GPG and the legal frameworks developed to address it. The literature review has been complemented by innovative field-based research, including reviews of policy documents, </w:t>
      </w:r>
      <w:r w:rsidRPr="00BD71B7">
        <w:rPr>
          <w:rFonts w:ascii="Calibri" w:eastAsia="Calibri" w:hAnsi="Calibri" w:cs="Calibri"/>
          <w:b/>
          <w:color w:val="000000"/>
          <w:sz w:val="22"/>
          <w:szCs w:val="22"/>
          <w:lang w:val="en-GB"/>
        </w:rPr>
        <w:t>initiatives</w:t>
      </w:r>
      <w:r w:rsidRPr="00BD71B7">
        <w:rPr>
          <w:rFonts w:ascii="Calibri" w:eastAsia="Calibri" w:hAnsi="Calibri" w:cs="Calibri"/>
          <w:color w:val="000000"/>
          <w:sz w:val="22"/>
          <w:szCs w:val="22"/>
          <w:lang w:val="en-GB"/>
        </w:rPr>
        <w:t xml:space="preserve"> and efforts put in place to tackle the GPG as well as </w:t>
      </w:r>
      <w:r w:rsidRPr="00BD71B7">
        <w:rPr>
          <w:rFonts w:ascii="Calibri" w:eastAsia="Calibri" w:hAnsi="Calibri" w:cs="Calibri"/>
          <w:b/>
          <w:color w:val="000000"/>
          <w:sz w:val="22"/>
          <w:szCs w:val="22"/>
          <w:lang w:val="en-GB"/>
        </w:rPr>
        <w:t>interviews</w:t>
      </w:r>
      <w:r w:rsidRPr="00BD71B7">
        <w:rPr>
          <w:rFonts w:ascii="Calibri" w:eastAsia="Calibri" w:hAnsi="Calibri" w:cs="Calibri"/>
          <w:color w:val="000000"/>
          <w:sz w:val="22"/>
          <w:szCs w:val="22"/>
          <w:lang w:val="en-GB"/>
        </w:rPr>
        <w:t xml:space="preserve"> in the consortium countries. </w:t>
      </w:r>
    </w:p>
    <w:p w14:paraId="67A7756B" w14:textId="77777777" w:rsidR="00BD71B7" w:rsidRPr="00BD71B7" w:rsidRDefault="00BD71B7" w:rsidP="00BD71B7">
      <w:pPr>
        <w:rPr>
          <w:rFonts w:ascii="Calibri" w:eastAsia="Calibri" w:hAnsi="Calibri" w:cs="Calibri"/>
          <w:color w:val="000000"/>
          <w:sz w:val="22"/>
          <w:szCs w:val="22"/>
          <w:lang w:val="en-GB"/>
        </w:rPr>
      </w:pPr>
    </w:p>
    <w:p w14:paraId="1E507180"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As such, the findings obtainable from the present study are likely to be transferable across different systems and jurisdictions globally, as the underlying root causes of the GPG appear to be similar across many different contexts. This makes the insights gained from this research relevant not only within the specific context studied but also in broader international discussions on equal pay and GPG levels.</w:t>
      </w:r>
    </w:p>
    <w:p w14:paraId="0F1EF6FF"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w:t>
      </w:r>
    </w:p>
    <w:p w14:paraId="31F650A8" w14:textId="2CAE755F"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xml:space="preserve">As specified, the aim is to offer concrete solutions and practical recommendations for rethinking and redesigning current approaches aligned with the TEA methodology, explained in the subsequent section. Additionally, creating a good practice map of initiatives that effectively address the GPG and pay inequalities will assist companies, sectoral organisations, policymakers and the relevant stakeholders in preparing for the implementation of the new </w:t>
      </w:r>
      <w:r w:rsidRPr="00240688">
        <w:rPr>
          <w:rFonts w:ascii="Calibri" w:eastAsia="Calibri" w:hAnsi="Calibri" w:cs="Calibri"/>
          <w:b/>
          <w:bCs/>
          <w:color w:val="000000"/>
          <w:sz w:val="22"/>
          <w:szCs w:val="22"/>
          <w:lang w:val="en-GB"/>
        </w:rPr>
        <w:t>PTD</w:t>
      </w:r>
      <w:r w:rsidRPr="00BD71B7">
        <w:rPr>
          <w:rFonts w:ascii="Calibri" w:eastAsia="Calibri" w:hAnsi="Calibri" w:cs="Calibri"/>
          <w:color w:val="000000"/>
          <w:sz w:val="22"/>
          <w:szCs w:val="22"/>
          <w:lang w:val="en-GB"/>
        </w:rPr>
        <w:t xml:space="preserve">. In other words, this analysis aims to critically evaluate existing institutional approaches, theories, policies and current efforts related to equal pay and GPG, to identify good examples of practices, and ultimately deliver a </w:t>
      </w:r>
      <w:r w:rsidRPr="00BD71B7">
        <w:rPr>
          <w:rFonts w:ascii="Calibri" w:eastAsia="Calibri" w:hAnsi="Calibri" w:cs="Calibri"/>
          <w:b/>
          <w:color w:val="000000"/>
          <w:sz w:val="22"/>
          <w:szCs w:val="22"/>
          <w:lang w:val="en-GB"/>
        </w:rPr>
        <w:t>good practice map</w:t>
      </w:r>
      <w:r w:rsidRPr="00BD71B7">
        <w:rPr>
          <w:rFonts w:ascii="Calibri" w:eastAsia="Calibri" w:hAnsi="Calibri" w:cs="Calibri"/>
          <w:color w:val="000000"/>
          <w:sz w:val="22"/>
          <w:szCs w:val="22"/>
          <w:lang w:val="en-GB"/>
        </w:rPr>
        <w:t xml:space="preserve"> with recommendations that all the relevant stakeholders can incorporate in their jurisdictions and workplaces. </w:t>
      </w:r>
    </w:p>
    <w:p w14:paraId="51810377" w14:textId="77777777" w:rsidR="00BD71B7" w:rsidRPr="00BD71B7" w:rsidRDefault="00BD71B7" w:rsidP="00BD71B7">
      <w:pPr>
        <w:rPr>
          <w:rFonts w:ascii="Calibri" w:eastAsia="Calibri" w:hAnsi="Calibri" w:cs="Calibri"/>
          <w:color w:val="000000"/>
          <w:sz w:val="22"/>
          <w:szCs w:val="22"/>
          <w:lang w:val="en-GB"/>
        </w:rPr>
      </w:pPr>
    </w:p>
    <w:p w14:paraId="5D6EBC2D"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This work has specifically investigated insights on GPG levels and actions to reduce them in Europe and South Africa, focusing on three key sectors: finance and enterprise, health, and sustainability and innovation. The selection of these sectors is strategic. In health, women are well-represented in the workforce but less so at the top levels. Instead, in the finance, sustainability, and innovation sectors, women are generally under-</w:t>
      </w:r>
      <w:r w:rsidRPr="00BD71B7">
        <w:rPr>
          <w:rFonts w:ascii="Calibri" w:eastAsia="Calibri" w:hAnsi="Calibri" w:cs="Calibri"/>
          <w:color w:val="000000"/>
          <w:sz w:val="22"/>
          <w:szCs w:val="22"/>
          <w:lang w:val="en-GB"/>
        </w:rPr>
        <w:lastRenderedPageBreak/>
        <w:t>represented in employment, leadership, and education. Understanding these dynamics is crucial for addressing and reducing the GPG levels.</w:t>
      </w:r>
    </w:p>
    <w:p w14:paraId="7C360347" w14:textId="77777777" w:rsidR="00BD71B7" w:rsidRPr="00F03FA2" w:rsidRDefault="00BD71B7" w:rsidP="00097F8D">
      <w:pPr>
        <w:pStyle w:val="Heading1"/>
      </w:pPr>
      <w:r w:rsidRPr="00BD71B7">
        <w:rPr>
          <w:color w:val="000000"/>
          <w:sz w:val="22"/>
          <w:szCs w:val="22"/>
        </w:rPr>
        <w:br/>
      </w:r>
      <w:bookmarkStart w:id="3" w:name="_Toc211587522"/>
      <w:r w:rsidRPr="00F03FA2">
        <w:t>2.Methodology</w:t>
      </w:r>
      <w:bookmarkEnd w:id="3"/>
      <w:r w:rsidRPr="00F03FA2">
        <w:t xml:space="preserve"> </w:t>
      </w:r>
    </w:p>
    <w:p w14:paraId="3F28C171" w14:textId="77777777" w:rsidR="00BD71B7" w:rsidRPr="00BD71B7" w:rsidRDefault="00BD71B7" w:rsidP="00BD71B7">
      <w:pPr>
        <w:rPr>
          <w:rFonts w:ascii="Calibri" w:eastAsia="Calibri" w:hAnsi="Calibri" w:cs="Calibri"/>
          <w:color w:val="000000"/>
          <w:sz w:val="22"/>
          <w:szCs w:val="22"/>
          <w:lang w:val="en-GB"/>
        </w:rPr>
      </w:pPr>
    </w:p>
    <w:p w14:paraId="1991CF44"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The present methodology section outlines the systematic approach that has been utilised to deliver the Good Practice Map on Addressing the Gender Pay Gap (D4.2). The objective was to conduct comprehensive reviews of the existing literature in the field as well as laws, policies, initiatives, efforts and practices put in place in the consortium countries to identify, monitor, and address gender pay gaps. Alongside the review of such policies and efforts, interviews have been conducted with key representatives in the Finance, Healthcare and Sustainability and Innovation sectors. By investigating these data sources, this project aims to provide a comprehensive and multi-faceted understanding of how GPG levels and pay inequalities are addressed, ensuring that the findings are comprehensive and well-balanced. As mentioned, this approach has ultimately informed the creation of the Good Practice Map to guide relevant stakeholders in reducing GPG levels and unequal pay, potentially aligning with the newly drafted Pay Transparency Directive obligations. </w:t>
      </w:r>
    </w:p>
    <w:p w14:paraId="09C9148F" w14:textId="77777777" w:rsidR="00BD71B7" w:rsidRPr="00BD71B7" w:rsidRDefault="00BD71B7" w:rsidP="00BD71B7">
      <w:pPr>
        <w:jc w:val="both"/>
        <w:rPr>
          <w:rFonts w:ascii="Calibri" w:eastAsia="Calibri" w:hAnsi="Calibri" w:cs="Calibri"/>
          <w:color w:val="000000"/>
          <w:sz w:val="22"/>
          <w:szCs w:val="22"/>
          <w:lang w:val="en-GB"/>
        </w:rPr>
      </w:pPr>
    </w:p>
    <w:p w14:paraId="022675EA"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The structure of this study is organised following the TEA methodology that informs the entire RE-WIRING project and objectives. TEA offers a holistic framework that emphasises the need for systemic change in the labour market, moving beyond surface-level solutions to address structural inequalities.</w:t>
      </w:r>
    </w:p>
    <w:p w14:paraId="18863BD2" w14:textId="77777777" w:rsidR="00BD71B7" w:rsidRPr="00BD71B7" w:rsidRDefault="00BD71B7" w:rsidP="00BD71B7">
      <w:pPr>
        <w:rPr>
          <w:rFonts w:ascii="Calibri" w:eastAsia="Calibri" w:hAnsi="Calibri" w:cs="Calibri"/>
          <w:color w:val="000000"/>
          <w:sz w:val="22"/>
          <w:szCs w:val="22"/>
          <w:lang w:val="en-GB"/>
        </w:rPr>
      </w:pPr>
    </w:p>
    <w:p w14:paraId="70B1A867"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Based on this, the present research is be organised following the three steps identified in the TEA approach: </w:t>
      </w:r>
    </w:p>
    <w:p w14:paraId="6A966257" w14:textId="77777777" w:rsidR="00BD71B7" w:rsidRPr="00BD71B7" w:rsidRDefault="00BD71B7" w:rsidP="00BD71B7">
      <w:pPr>
        <w:rPr>
          <w:rFonts w:ascii="Calibri" w:eastAsia="Calibri" w:hAnsi="Calibri" w:cs="Calibri"/>
          <w:color w:val="000000"/>
          <w:sz w:val="22"/>
          <w:szCs w:val="22"/>
          <w:lang w:val="en-GB"/>
        </w:rPr>
      </w:pPr>
    </w:p>
    <w:p w14:paraId="2647853D" w14:textId="77777777" w:rsidR="00BD71B7" w:rsidRPr="00BD71B7" w:rsidRDefault="00BD71B7" w:rsidP="00BD71B7">
      <w:pPr>
        <w:jc w:val="both"/>
        <w:rPr>
          <w:rFonts w:ascii="Calibri" w:eastAsia="Calibri" w:hAnsi="Calibri" w:cs="Calibri"/>
          <w:color w:val="7731D8"/>
          <w:sz w:val="22"/>
          <w:szCs w:val="22"/>
          <w:lang w:val="en-GB"/>
        </w:rPr>
      </w:pPr>
      <w:r w:rsidRPr="00BD71B7">
        <w:rPr>
          <w:rFonts w:ascii="Calibri" w:eastAsia="Calibri" w:hAnsi="Calibri" w:cs="Calibri"/>
          <w:b/>
          <w:color w:val="7731D8"/>
          <w:sz w:val="22"/>
          <w:szCs w:val="22"/>
          <w:lang w:val="en-GB"/>
        </w:rPr>
        <w:t>- 1</w:t>
      </w:r>
      <w:r w:rsidRPr="00BD71B7">
        <w:rPr>
          <w:rFonts w:ascii="Calibri" w:eastAsia="Calibri" w:hAnsi="Calibri" w:cs="Calibri"/>
          <w:b/>
          <w:color w:val="7731D8"/>
          <w:sz w:val="22"/>
          <w:szCs w:val="22"/>
          <w:vertAlign w:val="superscript"/>
          <w:lang w:val="en-GB"/>
        </w:rPr>
        <w:t>st</w:t>
      </w:r>
      <w:r w:rsidRPr="00BD71B7">
        <w:rPr>
          <w:rFonts w:ascii="Calibri" w:eastAsia="Calibri" w:hAnsi="Calibri" w:cs="Calibri"/>
          <w:b/>
          <w:color w:val="7731D8"/>
          <w:sz w:val="22"/>
          <w:szCs w:val="22"/>
          <w:lang w:val="en-GB"/>
        </w:rPr>
        <w:t xml:space="preserve"> step: Acknowledgment and diagnosis </w:t>
      </w:r>
    </w:p>
    <w:p w14:paraId="20CF42A3"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It is essential to first establish and fully identify the structural root cause and systemic barriers that perpetuate the GPG. These underlying issues – rooted in both institutional practices and cultural norms – contribute to the persistence of gender-based pay disparities. Diagnosing the problem at its core is the first necessary step to dismantle the structures that sustain inequities and design strategies that promote long-term, systemic change.</w:t>
      </w:r>
    </w:p>
    <w:p w14:paraId="4A3C3A03" w14:textId="77777777" w:rsidR="00BD71B7" w:rsidRPr="00BD71B7" w:rsidRDefault="00BD71B7" w:rsidP="00BD71B7">
      <w:pPr>
        <w:rPr>
          <w:rFonts w:ascii="Calibri" w:eastAsia="Calibri" w:hAnsi="Calibri" w:cs="Calibri"/>
          <w:color w:val="000000"/>
          <w:sz w:val="22"/>
          <w:szCs w:val="22"/>
          <w:lang w:val="en-GB"/>
        </w:rPr>
      </w:pPr>
    </w:p>
    <w:p w14:paraId="038A53EB" w14:textId="77777777" w:rsidR="00BD71B7" w:rsidRPr="00BD71B7" w:rsidRDefault="00BD71B7" w:rsidP="00BD71B7">
      <w:pPr>
        <w:jc w:val="both"/>
        <w:rPr>
          <w:rFonts w:ascii="Calibri" w:eastAsia="Calibri" w:hAnsi="Calibri" w:cs="Calibri"/>
          <w:color w:val="7731D8"/>
          <w:sz w:val="22"/>
          <w:szCs w:val="22"/>
          <w:lang w:val="en-GB"/>
        </w:rPr>
      </w:pPr>
      <w:r w:rsidRPr="00BD71B7">
        <w:rPr>
          <w:rFonts w:ascii="Calibri" w:eastAsia="Calibri" w:hAnsi="Calibri" w:cs="Calibri"/>
          <w:b/>
          <w:color w:val="7731D8"/>
          <w:sz w:val="22"/>
          <w:szCs w:val="22"/>
          <w:lang w:val="en-GB"/>
        </w:rPr>
        <w:t>- 2</w:t>
      </w:r>
      <w:r w:rsidRPr="00BD71B7">
        <w:rPr>
          <w:rFonts w:ascii="Calibri" w:eastAsia="Calibri" w:hAnsi="Calibri" w:cs="Calibri"/>
          <w:b/>
          <w:color w:val="7731D8"/>
          <w:sz w:val="22"/>
          <w:szCs w:val="22"/>
          <w:vertAlign w:val="superscript"/>
          <w:lang w:val="en-GB"/>
        </w:rPr>
        <w:t>nd</w:t>
      </w:r>
      <w:r w:rsidRPr="00BD71B7">
        <w:rPr>
          <w:rFonts w:ascii="Calibri" w:eastAsia="Calibri" w:hAnsi="Calibri" w:cs="Calibri"/>
          <w:b/>
          <w:color w:val="7731D8"/>
          <w:sz w:val="22"/>
          <w:szCs w:val="22"/>
          <w:lang w:val="en-GB"/>
        </w:rPr>
        <w:t xml:space="preserve"> step: Determination of the gaps </w:t>
      </w:r>
    </w:p>
    <w:p w14:paraId="6CC21524"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Despite growing attention to the GPG issue and several initiatives to reduce it, significant gaps remain in both research and policy implementation. This section maps the current reality, locating where knowledge is incomplete, where institutional blind spots persist, and what obstacles prevent impactful and concrete progress. Understanding these gaps is essential for designing evidence-based, transformative solutions.</w:t>
      </w:r>
    </w:p>
    <w:p w14:paraId="6CB1FDD0" w14:textId="77777777" w:rsidR="00BD71B7" w:rsidRPr="00BD71B7" w:rsidRDefault="00BD71B7" w:rsidP="00BD71B7">
      <w:pPr>
        <w:rPr>
          <w:rFonts w:ascii="Calibri" w:eastAsia="Calibri" w:hAnsi="Calibri" w:cs="Calibri"/>
          <w:color w:val="000000"/>
          <w:sz w:val="22"/>
          <w:szCs w:val="22"/>
          <w:lang w:val="en-GB"/>
        </w:rPr>
      </w:pPr>
    </w:p>
    <w:p w14:paraId="0362F872" w14:textId="77777777" w:rsidR="00BD71B7" w:rsidRPr="00BD71B7" w:rsidRDefault="00BD71B7" w:rsidP="00BD71B7">
      <w:pPr>
        <w:jc w:val="both"/>
        <w:rPr>
          <w:rFonts w:ascii="Calibri" w:eastAsia="Calibri" w:hAnsi="Calibri" w:cs="Calibri"/>
          <w:color w:val="7731D8"/>
          <w:sz w:val="22"/>
          <w:szCs w:val="22"/>
          <w:lang w:val="en-GB"/>
        </w:rPr>
      </w:pPr>
      <w:r w:rsidRPr="00BD71B7">
        <w:rPr>
          <w:rFonts w:ascii="Calibri" w:eastAsia="Calibri" w:hAnsi="Calibri" w:cs="Calibri"/>
          <w:b/>
          <w:color w:val="7731D8"/>
          <w:sz w:val="22"/>
          <w:szCs w:val="22"/>
          <w:lang w:val="en-GB"/>
        </w:rPr>
        <w:t>- 3</w:t>
      </w:r>
      <w:r w:rsidRPr="00BD71B7">
        <w:rPr>
          <w:rFonts w:ascii="Calibri" w:eastAsia="Calibri" w:hAnsi="Calibri" w:cs="Calibri"/>
          <w:b/>
          <w:color w:val="7731D8"/>
          <w:sz w:val="22"/>
          <w:szCs w:val="22"/>
          <w:vertAlign w:val="superscript"/>
          <w:lang w:val="en-GB"/>
        </w:rPr>
        <w:t>rd</w:t>
      </w:r>
      <w:r w:rsidRPr="00BD71B7">
        <w:rPr>
          <w:rFonts w:ascii="Calibri" w:eastAsia="Calibri" w:hAnsi="Calibri" w:cs="Calibri"/>
          <w:b/>
          <w:color w:val="7731D8"/>
          <w:sz w:val="22"/>
          <w:szCs w:val="22"/>
          <w:lang w:val="en-GB"/>
        </w:rPr>
        <w:t xml:space="preserve"> step:  Identification of effective transformative actions </w:t>
      </w:r>
    </w:p>
    <w:p w14:paraId="06E1E5D7"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xml:space="preserve">To generate meaningful change, it is necessary to implement transformative solutions that address both structural and cultural barriers to GPG and equal pay. This final step can only be achieved through innovative field-based research, including policy reviews, analyses of existing initiatives, and qualitative research such as interviews with sector representatives across the consortium countries. </w:t>
      </w:r>
    </w:p>
    <w:p w14:paraId="233B13F7" w14:textId="77777777" w:rsidR="00BD71B7" w:rsidRPr="00BD71B7" w:rsidRDefault="00BD71B7" w:rsidP="00BD71B7">
      <w:pPr>
        <w:jc w:val="both"/>
        <w:rPr>
          <w:rFonts w:ascii="Calibri" w:eastAsia="Calibri" w:hAnsi="Calibri" w:cs="Calibri"/>
          <w:color w:val="000000"/>
          <w:sz w:val="22"/>
          <w:szCs w:val="22"/>
          <w:lang w:val="en-GB"/>
        </w:rPr>
      </w:pPr>
    </w:p>
    <w:p w14:paraId="2C79C0AD"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The analysis of these findings has led to the creation of a good practice map addressing the GPG, ensuring that the recommended actions are evidence-based and designed for real-word impact.</w:t>
      </w:r>
    </w:p>
    <w:p w14:paraId="55E16D6F" w14:textId="77777777" w:rsidR="00BD71B7" w:rsidRPr="00BD71B7" w:rsidRDefault="00BD71B7" w:rsidP="00BD71B7">
      <w:pPr>
        <w:rPr>
          <w:rFonts w:ascii="Calibri" w:eastAsia="Calibri" w:hAnsi="Calibri" w:cs="Calibri"/>
          <w:color w:val="000000"/>
          <w:sz w:val="22"/>
          <w:szCs w:val="22"/>
          <w:lang w:val="en-GB"/>
        </w:rPr>
      </w:pPr>
    </w:p>
    <w:p w14:paraId="44302B31" w14:textId="2AA1444B" w:rsidR="00BD71B7" w:rsidRPr="00F03FA2" w:rsidRDefault="00BD71B7" w:rsidP="00097F8D">
      <w:pPr>
        <w:pStyle w:val="Heading1"/>
      </w:pPr>
      <w:bookmarkStart w:id="4" w:name="_Toc211587523"/>
      <w:r w:rsidRPr="00F03FA2">
        <w:lastRenderedPageBreak/>
        <w:t>2.</w:t>
      </w:r>
      <w:r w:rsidR="009B6EA6">
        <w:t>1</w:t>
      </w:r>
      <w:r w:rsidRPr="00F03FA2">
        <w:t xml:space="preserve"> Alignment with the RE-WIRING Transformative Equality Approach Methodology</w:t>
      </w:r>
      <w:bookmarkEnd w:id="4"/>
      <w:r w:rsidRPr="00F03FA2">
        <w:t> </w:t>
      </w:r>
    </w:p>
    <w:p w14:paraId="06F5D7E9" w14:textId="77777777" w:rsidR="00BD71B7" w:rsidRPr="00BD71B7" w:rsidRDefault="00BD71B7" w:rsidP="00BD71B7">
      <w:pPr>
        <w:rPr>
          <w:rFonts w:ascii="Calibri" w:eastAsia="Calibri" w:hAnsi="Calibri" w:cs="Calibri"/>
          <w:color w:val="000000"/>
          <w:sz w:val="22"/>
          <w:szCs w:val="22"/>
          <w:lang w:val="en-GB"/>
        </w:rPr>
      </w:pPr>
    </w:p>
    <w:p w14:paraId="2068C8B5"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As specified, this research seeks to highlight and recommend effective rules, policies, and practices inspired by or embedded under the approach of the Re-Wiring general research and methodology as well as TEA Checklist and Implementation Strategy.</w:t>
      </w:r>
      <w:r w:rsidRPr="00BD71B7">
        <w:rPr>
          <w:rFonts w:ascii="Calibri" w:eastAsia="Calibri" w:hAnsi="Calibri" w:cs="Calibri"/>
          <w:color w:val="000000"/>
          <w:sz w:val="22"/>
          <w:szCs w:val="22"/>
          <w:vertAlign w:val="superscript"/>
          <w:lang w:val="en-GB"/>
        </w:rPr>
        <w:footnoteReference w:id="11"/>
      </w:r>
      <w:r w:rsidRPr="00BD71B7">
        <w:rPr>
          <w:rFonts w:ascii="Calibri" w:eastAsia="Calibri" w:hAnsi="Calibri" w:cs="Calibri"/>
          <w:color w:val="000000"/>
          <w:sz w:val="22"/>
          <w:szCs w:val="22"/>
          <w:lang w:val="en-GB"/>
        </w:rPr>
        <w:t xml:space="preserve"> Consequently, this deliverable meant to assess the transformative nature and (potential) effectiveness of various approaches, policies and initiatives implemented in the consortium countries, and across three different sectors, in order to generate an interactive and user-friendly map with practical solutions that work in addressing the GPG systemic causes. </w:t>
      </w:r>
    </w:p>
    <w:p w14:paraId="6EE89108" w14:textId="77777777" w:rsidR="00BD71B7" w:rsidRPr="00BD71B7" w:rsidRDefault="00BD71B7" w:rsidP="00BD71B7">
      <w:pPr>
        <w:rPr>
          <w:rFonts w:ascii="Calibri" w:eastAsia="Calibri" w:hAnsi="Calibri" w:cs="Calibri"/>
          <w:color w:val="000000"/>
          <w:sz w:val="22"/>
          <w:szCs w:val="22"/>
          <w:lang w:val="en-GB"/>
        </w:rPr>
      </w:pPr>
    </w:p>
    <w:p w14:paraId="6B10D278"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xml:space="preserve">The methodology utilised, emphasises the importance not only of institutional measures, such as tailored legislation and practices at EU and national level, but also of the processes, policies and initiatives that underpin organisations’ pay structures that directly contribute to the dismantling of rooted gender pay inequalities as well as in the broader societal narratives around gender pay equality. As such, the necessity of addressing the GPG through a comprehensive approach that will operate simultaneously on the </w:t>
      </w:r>
      <w:r w:rsidRPr="00BD71B7">
        <w:rPr>
          <w:rFonts w:ascii="Calibri" w:eastAsia="Calibri" w:hAnsi="Calibri" w:cs="Calibri"/>
          <w:b/>
          <w:color w:val="000000"/>
          <w:sz w:val="22"/>
          <w:szCs w:val="22"/>
          <w:lang w:val="en-GB"/>
        </w:rPr>
        <w:t>institutional</w:t>
      </w:r>
      <w:r w:rsidRPr="00BD71B7">
        <w:rPr>
          <w:rFonts w:ascii="Calibri" w:eastAsia="Calibri" w:hAnsi="Calibri" w:cs="Calibri"/>
          <w:color w:val="000000"/>
          <w:sz w:val="22"/>
          <w:szCs w:val="22"/>
          <w:lang w:val="en-GB"/>
        </w:rPr>
        <w:t xml:space="preserve">, the </w:t>
      </w:r>
      <w:r w:rsidRPr="00BD71B7">
        <w:rPr>
          <w:rFonts w:ascii="Calibri" w:eastAsia="Calibri" w:hAnsi="Calibri" w:cs="Calibri"/>
          <w:b/>
          <w:color w:val="000000"/>
          <w:sz w:val="22"/>
          <w:szCs w:val="22"/>
          <w:lang w:val="en-GB"/>
        </w:rPr>
        <w:t>symbolical</w:t>
      </w:r>
      <w:r w:rsidRPr="00BD71B7">
        <w:rPr>
          <w:rFonts w:ascii="Calibri" w:eastAsia="Calibri" w:hAnsi="Calibri" w:cs="Calibri"/>
          <w:color w:val="000000"/>
          <w:sz w:val="22"/>
          <w:szCs w:val="22"/>
          <w:lang w:val="en-GB"/>
        </w:rPr>
        <w:t xml:space="preserve">, and the </w:t>
      </w:r>
      <w:r w:rsidRPr="00BD71B7">
        <w:rPr>
          <w:rFonts w:ascii="Calibri" w:eastAsia="Calibri" w:hAnsi="Calibri" w:cs="Calibri"/>
          <w:b/>
          <w:color w:val="000000"/>
          <w:sz w:val="22"/>
          <w:szCs w:val="22"/>
          <w:lang w:val="en-GB"/>
        </w:rPr>
        <w:t>experiential</w:t>
      </w:r>
      <w:r w:rsidRPr="00BD71B7">
        <w:rPr>
          <w:rFonts w:ascii="Calibri" w:eastAsia="Calibri" w:hAnsi="Calibri" w:cs="Calibri"/>
          <w:color w:val="000000"/>
          <w:sz w:val="22"/>
          <w:szCs w:val="22"/>
          <w:lang w:val="en-GB"/>
        </w:rPr>
        <w:t xml:space="preserve"> level, appears essential.  In line with this, the RE-WIRING project has developed its three-dimensional multidisciplinary approach based on three levels and summarised in the following picture</w:t>
      </w:r>
      <w:r w:rsidRPr="00BD71B7">
        <w:rPr>
          <w:rFonts w:ascii="Calibri" w:eastAsia="Calibri" w:hAnsi="Calibri" w:cs="Calibri"/>
          <w:color w:val="000000"/>
          <w:sz w:val="22"/>
          <w:szCs w:val="22"/>
          <w:vertAlign w:val="superscript"/>
          <w:lang w:val="en-GB"/>
        </w:rPr>
        <w:footnoteReference w:id="12"/>
      </w:r>
      <w:r w:rsidRPr="00BD71B7">
        <w:rPr>
          <w:rFonts w:ascii="Calibri" w:eastAsia="Calibri" w:hAnsi="Calibri" w:cs="Calibri"/>
          <w:color w:val="000000"/>
          <w:sz w:val="22"/>
          <w:szCs w:val="22"/>
          <w:lang w:val="en-GB"/>
        </w:rPr>
        <w:t>:</w:t>
      </w:r>
    </w:p>
    <w:p w14:paraId="7F673B74" w14:textId="77777777" w:rsidR="00BD71B7" w:rsidRPr="00BD71B7" w:rsidRDefault="00BD71B7" w:rsidP="00BD71B7">
      <w:pPr>
        <w:rPr>
          <w:rFonts w:ascii="Calibri" w:eastAsia="Calibri" w:hAnsi="Calibri" w:cs="Calibri"/>
          <w:color w:val="000000"/>
          <w:sz w:val="22"/>
          <w:szCs w:val="22"/>
          <w:lang w:val="en-GB"/>
        </w:rPr>
      </w:pPr>
    </w:p>
    <w:p w14:paraId="3660C6B4"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noProof/>
          <w:color w:val="000000"/>
          <w:sz w:val="22"/>
          <w:szCs w:val="22"/>
          <w:lang w:val="en-GB"/>
        </w:rPr>
        <w:drawing>
          <wp:inline distT="0" distB="0" distL="0" distR="0" wp14:anchorId="097644DF" wp14:editId="193CC3CE">
            <wp:extent cx="4047409" cy="2718611"/>
            <wp:effectExtent l="0" t="0" r="0" b="0"/>
            <wp:docPr id="571094863" name="image1.png"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diagram of a diagram&#10;&#10;AI-generated content may be incorrect."/>
                    <pic:cNvPicPr preferRelativeResize="0"/>
                  </pic:nvPicPr>
                  <pic:blipFill>
                    <a:blip r:embed="rId12"/>
                    <a:srcRect/>
                    <a:stretch>
                      <a:fillRect/>
                    </a:stretch>
                  </pic:blipFill>
                  <pic:spPr>
                    <a:xfrm>
                      <a:off x="0" y="0"/>
                      <a:ext cx="4047409" cy="2718611"/>
                    </a:xfrm>
                    <a:prstGeom prst="rect">
                      <a:avLst/>
                    </a:prstGeom>
                    <a:ln/>
                  </pic:spPr>
                </pic:pic>
              </a:graphicData>
            </a:graphic>
          </wp:inline>
        </w:drawing>
      </w:r>
    </w:p>
    <w:p w14:paraId="39B3C115" w14:textId="77777777" w:rsidR="00BD71B7" w:rsidRPr="00BD71B7" w:rsidRDefault="00BD71B7" w:rsidP="00BD71B7">
      <w:pPr>
        <w:jc w:val="both"/>
        <w:rPr>
          <w:rFonts w:ascii="Calibri" w:eastAsia="Calibri" w:hAnsi="Calibri" w:cs="Calibri"/>
          <w:color w:val="000000"/>
          <w:sz w:val="20"/>
          <w:szCs w:val="20"/>
          <w:lang w:val="en-GB"/>
        </w:rPr>
      </w:pPr>
      <w:r w:rsidRPr="00BD71B7">
        <w:rPr>
          <w:rFonts w:ascii="Calibri" w:eastAsia="Calibri" w:hAnsi="Calibri" w:cs="Calibri"/>
          <w:color w:val="333333"/>
          <w:sz w:val="20"/>
          <w:szCs w:val="20"/>
          <w:highlight w:val="white"/>
          <w:lang w:val="en-GB"/>
        </w:rPr>
        <w:t>Figure 1. RE-WIRING’s three-dimensional multidisciplinary approach, 202</w:t>
      </w:r>
      <w:r w:rsidRPr="00BD71B7">
        <w:rPr>
          <w:rFonts w:ascii="Calibri" w:eastAsia="Calibri" w:hAnsi="Calibri" w:cs="Calibri"/>
          <w:color w:val="333333"/>
          <w:sz w:val="20"/>
          <w:szCs w:val="20"/>
          <w:lang w:val="en-GB"/>
        </w:rPr>
        <w:t>4</w:t>
      </w:r>
    </w:p>
    <w:p w14:paraId="4003065D" w14:textId="77777777" w:rsidR="00BD71B7" w:rsidRPr="00BD71B7" w:rsidRDefault="00BD71B7" w:rsidP="00BD71B7">
      <w:pPr>
        <w:jc w:val="both"/>
        <w:rPr>
          <w:rFonts w:ascii="Calibri" w:eastAsia="Calibri" w:hAnsi="Calibri" w:cs="Calibri"/>
          <w:color w:val="000000"/>
          <w:sz w:val="20"/>
          <w:szCs w:val="20"/>
          <w:lang w:val="en-GB"/>
        </w:rPr>
      </w:pPr>
      <w:r w:rsidRPr="00BD71B7">
        <w:rPr>
          <w:rFonts w:ascii="Calibri" w:eastAsia="Calibri" w:hAnsi="Calibri" w:cs="Calibri"/>
          <w:color w:val="000000"/>
          <w:sz w:val="20"/>
          <w:szCs w:val="20"/>
          <w:lang w:val="en-GB"/>
        </w:rPr>
        <w:t>Source: RE-WIRING, 2025 </w:t>
      </w:r>
    </w:p>
    <w:p w14:paraId="4F17FF6B" w14:textId="77777777" w:rsidR="00BD71B7" w:rsidRPr="00BD71B7" w:rsidRDefault="00BD71B7" w:rsidP="00BD71B7">
      <w:pPr>
        <w:rPr>
          <w:rFonts w:ascii="Calibri" w:eastAsia="Calibri" w:hAnsi="Calibri" w:cs="Calibri"/>
          <w:color w:val="000000"/>
          <w:sz w:val="22"/>
          <w:szCs w:val="22"/>
          <w:lang w:val="en-GB"/>
        </w:rPr>
      </w:pPr>
    </w:p>
    <w:p w14:paraId="66AE7958"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lastRenderedPageBreak/>
        <w:t>The effectiveness of TEA relies on such RE-WIRING’s dimensions and connects to Scott's theory of institutional change in which the three main pillars underlying this theory are the regulative, normative and cultural-cognitive dimensions.</w:t>
      </w:r>
      <w:r w:rsidRPr="00BD71B7">
        <w:rPr>
          <w:rFonts w:ascii="Calibri" w:eastAsia="Calibri" w:hAnsi="Calibri" w:cs="Calibri"/>
          <w:color w:val="000000"/>
          <w:sz w:val="22"/>
          <w:szCs w:val="22"/>
          <w:vertAlign w:val="superscript"/>
          <w:lang w:val="en-GB"/>
        </w:rPr>
        <w:footnoteReference w:id="13"/>
      </w:r>
    </w:p>
    <w:p w14:paraId="4E721E21" w14:textId="77777777" w:rsidR="00BD71B7" w:rsidRPr="00BD71B7" w:rsidRDefault="00BD71B7" w:rsidP="00BD71B7">
      <w:pPr>
        <w:rPr>
          <w:rFonts w:ascii="Calibri" w:eastAsia="Calibri" w:hAnsi="Calibri" w:cs="Calibri"/>
          <w:color w:val="000000"/>
          <w:sz w:val="22"/>
          <w:szCs w:val="22"/>
          <w:lang w:val="en-GB"/>
        </w:rPr>
      </w:pPr>
    </w:p>
    <w:p w14:paraId="0AFAA6D1"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xml:space="preserve">The analysis of the existing legal framework and theories surrounding the causes of the GPG, clearly unveils that while legal frameworks and EU/national initiatives form a critical foundation for change, their success is significantly amplified by </w:t>
      </w:r>
      <w:r w:rsidRPr="00BD71B7">
        <w:rPr>
          <w:rFonts w:ascii="Calibri" w:eastAsia="Calibri" w:hAnsi="Calibri" w:cs="Calibri"/>
          <w:b/>
          <w:color w:val="000000"/>
          <w:sz w:val="22"/>
          <w:szCs w:val="22"/>
          <w:lang w:val="en-GB"/>
        </w:rPr>
        <w:t>broader cultural shifts</w:t>
      </w:r>
      <w:r w:rsidRPr="00BD71B7">
        <w:rPr>
          <w:rFonts w:ascii="Calibri" w:eastAsia="Calibri" w:hAnsi="Calibri" w:cs="Calibri"/>
          <w:color w:val="000000"/>
          <w:sz w:val="22"/>
          <w:szCs w:val="22"/>
          <w:lang w:val="en-GB"/>
        </w:rPr>
        <w:t xml:space="preserve"> and a </w:t>
      </w:r>
      <w:r w:rsidRPr="00BD71B7">
        <w:rPr>
          <w:rFonts w:ascii="Calibri" w:eastAsia="Calibri" w:hAnsi="Calibri" w:cs="Calibri"/>
          <w:b/>
          <w:color w:val="000000"/>
          <w:sz w:val="22"/>
          <w:szCs w:val="22"/>
          <w:lang w:val="en-GB"/>
        </w:rPr>
        <w:t>commitment to gender-sensitive practices at the organisational and societal levels</w:t>
      </w:r>
      <w:r w:rsidRPr="00BD71B7">
        <w:rPr>
          <w:rFonts w:ascii="Calibri" w:eastAsia="Calibri" w:hAnsi="Calibri" w:cs="Calibri"/>
          <w:color w:val="000000"/>
          <w:sz w:val="22"/>
          <w:szCs w:val="22"/>
          <w:lang w:val="en-GB"/>
        </w:rPr>
        <w:t xml:space="preserve">. This assumption confirms the understanding that achieving </w:t>
      </w:r>
      <w:r w:rsidRPr="00BD71B7">
        <w:rPr>
          <w:rFonts w:ascii="Calibri" w:eastAsia="Calibri" w:hAnsi="Calibri" w:cs="Calibri"/>
          <w:b/>
          <w:color w:val="000000"/>
          <w:sz w:val="22"/>
          <w:szCs w:val="22"/>
          <w:lang w:val="en-GB"/>
        </w:rPr>
        <w:t>transformative equality</w:t>
      </w:r>
      <w:r w:rsidRPr="00BD71B7">
        <w:rPr>
          <w:rFonts w:ascii="Calibri" w:eastAsia="Calibri" w:hAnsi="Calibri" w:cs="Calibri"/>
          <w:color w:val="000000"/>
          <w:sz w:val="22"/>
          <w:szCs w:val="22"/>
          <w:lang w:val="en-GB"/>
        </w:rPr>
        <w:t xml:space="preserve"> is a complex, multidimensional responsibility that demands consistent and collaborative efforts at various collective and joint levels. </w:t>
      </w:r>
    </w:p>
    <w:p w14:paraId="4CDE56B3" w14:textId="77777777" w:rsidR="00BD71B7" w:rsidRPr="00BD71B7" w:rsidRDefault="00BD71B7" w:rsidP="00BD71B7">
      <w:pPr>
        <w:rPr>
          <w:rFonts w:ascii="Calibri" w:eastAsia="Calibri" w:hAnsi="Calibri" w:cs="Calibri"/>
          <w:color w:val="000000"/>
          <w:sz w:val="22"/>
          <w:szCs w:val="22"/>
          <w:lang w:val="en-GB"/>
        </w:rPr>
      </w:pPr>
    </w:p>
    <w:p w14:paraId="08B0E267"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Thus, in accordance with TEA methodology checklist and based on the analysis and the research conducted, it can be established that an effective transformative strategy requires identification of the following key elements: </w:t>
      </w:r>
    </w:p>
    <w:p w14:paraId="04EA46F0" w14:textId="77777777" w:rsidR="00BD71B7" w:rsidRPr="00BD71B7" w:rsidRDefault="00BD71B7" w:rsidP="00BD71B7">
      <w:pPr>
        <w:rPr>
          <w:rFonts w:ascii="Calibri" w:eastAsia="Calibri" w:hAnsi="Calibri" w:cs="Calibri"/>
          <w:color w:val="000000"/>
          <w:sz w:val="22"/>
          <w:szCs w:val="22"/>
          <w:lang w:val="en-GB"/>
        </w:rPr>
      </w:pPr>
    </w:p>
    <w:p w14:paraId="2AB01D89"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b/>
          <w:color w:val="000000"/>
          <w:sz w:val="22"/>
          <w:szCs w:val="22"/>
          <w:lang w:val="en-GB"/>
        </w:rPr>
        <w:t>Acknowledgement and Diagnosis:</w:t>
      </w:r>
    </w:p>
    <w:p w14:paraId="4169DB06"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Understanding and acknowledging the problems is a prerequisite for developing concrete solutions. Hence, the following key problems have been identified:</w:t>
      </w:r>
    </w:p>
    <w:p w14:paraId="15044F3F" w14:textId="77777777" w:rsidR="00BD71B7" w:rsidRPr="00BD71B7" w:rsidRDefault="00BD71B7" w:rsidP="00BD71B7">
      <w:pPr>
        <w:rPr>
          <w:rFonts w:ascii="Calibri" w:eastAsia="Calibri" w:hAnsi="Calibri" w:cs="Calibri"/>
          <w:color w:val="000000"/>
          <w:sz w:val="22"/>
          <w:szCs w:val="22"/>
          <w:lang w:val="en-GB"/>
        </w:rPr>
      </w:pPr>
    </w:p>
    <w:p w14:paraId="6160E419" w14:textId="77777777" w:rsidR="00BD71B7" w:rsidRPr="00BD71B7" w:rsidRDefault="00BD71B7" w:rsidP="00BD71B7">
      <w:pPr>
        <w:numPr>
          <w:ilvl w:val="0"/>
          <w:numId w:val="3"/>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Recognising the structural barriers and root causes of the GPG and the need for actions to fight these barriers and causes.</w:t>
      </w:r>
    </w:p>
    <w:p w14:paraId="5D1B8678" w14:textId="77777777" w:rsidR="00BD71B7" w:rsidRPr="00BD71B7" w:rsidRDefault="00BD71B7" w:rsidP="00BD71B7">
      <w:pPr>
        <w:numPr>
          <w:ilvl w:val="0"/>
          <w:numId w:val="3"/>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Acknowledging that a comprehensive approach is required to address these barriers, which should include policies beyond promoting women in leadership roles, such as work-life balance initiatives and transparency measures to address the GPG and pay inequity.</w:t>
      </w:r>
    </w:p>
    <w:p w14:paraId="04029F4F" w14:textId="77777777" w:rsidR="00BD71B7" w:rsidRPr="00BD71B7" w:rsidRDefault="00BD71B7" w:rsidP="00BD71B7">
      <w:pPr>
        <w:numPr>
          <w:ilvl w:val="0"/>
          <w:numId w:val="3"/>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Recognising existing laws and the commitment at both EU and national levels to reduce and ultimately eliminate the GPG. </w:t>
      </w:r>
    </w:p>
    <w:p w14:paraId="73A65AE2" w14:textId="77777777" w:rsidR="00BD71B7" w:rsidRPr="00BD71B7" w:rsidRDefault="00BD71B7" w:rsidP="00BD71B7">
      <w:pPr>
        <w:numPr>
          <w:ilvl w:val="0"/>
          <w:numId w:val="3"/>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Understanding that lack of effective transparency mechanisms and reporting obligations limits progress on closing the GPG.</w:t>
      </w:r>
    </w:p>
    <w:p w14:paraId="4FF9915A" w14:textId="77777777" w:rsidR="00BD71B7" w:rsidRPr="00BD71B7" w:rsidRDefault="00BD71B7" w:rsidP="00BD71B7">
      <w:pPr>
        <w:numPr>
          <w:ilvl w:val="0"/>
          <w:numId w:val="3"/>
        </w:numPr>
        <w:suppressAutoHyphens w:val="0"/>
        <w:spacing w:after="16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Acknowledging that enforcement measures are necessary to ensure compliance with pay legislation.</w:t>
      </w:r>
    </w:p>
    <w:p w14:paraId="344A1046"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xml:space="preserve">Building on this, the RE-WIRING TEA then focuses on identifying </w:t>
      </w:r>
      <w:r w:rsidRPr="00BD71B7">
        <w:rPr>
          <w:rFonts w:ascii="Calibri" w:eastAsia="Calibri" w:hAnsi="Calibri" w:cs="Calibri"/>
          <w:b/>
          <w:color w:val="000000"/>
          <w:sz w:val="22"/>
          <w:szCs w:val="22"/>
          <w:lang w:val="en-GB"/>
        </w:rPr>
        <w:t>gaps</w:t>
      </w:r>
      <w:r w:rsidRPr="00BD71B7">
        <w:rPr>
          <w:rFonts w:ascii="Calibri" w:eastAsia="Calibri" w:hAnsi="Calibri" w:cs="Calibri"/>
          <w:color w:val="000000"/>
          <w:sz w:val="22"/>
          <w:szCs w:val="22"/>
          <w:lang w:val="en-GB"/>
        </w:rPr>
        <w:t xml:space="preserve"> in current knowledge and understanding of the GPG. This involves mapping the existing phenomenon and highlighting areas where further research, data, and insights are needed to fully grasp the complexities of gender pay inequalities. The following gaps have been recognised</w:t>
      </w:r>
      <w:r w:rsidRPr="00BD71B7">
        <w:rPr>
          <w:rFonts w:ascii="Calibri" w:eastAsia="Calibri" w:hAnsi="Calibri" w:cs="Calibri"/>
          <w:b/>
          <w:color w:val="000000"/>
          <w:sz w:val="22"/>
          <w:szCs w:val="22"/>
          <w:lang w:val="en-GB"/>
        </w:rPr>
        <w:t>:</w:t>
      </w:r>
    </w:p>
    <w:p w14:paraId="185F1A75" w14:textId="77777777" w:rsidR="00BD71B7" w:rsidRPr="00BD71B7" w:rsidRDefault="00BD71B7" w:rsidP="00BD71B7">
      <w:pPr>
        <w:rPr>
          <w:rFonts w:ascii="Calibri" w:eastAsia="Calibri" w:hAnsi="Calibri" w:cs="Calibri"/>
          <w:color w:val="000000"/>
          <w:sz w:val="22"/>
          <w:szCs w:val="22"/>
          <w:lang w:val="en-GB"/>
        </w:rPr>
      </w:pPr>
    </w:p>
    <w:p w14:paraId="1386C9DB" w14:textId="77777777" w:rsidR="00BD71B7" w:rsidRPr="00BD71B7" w:rsidRDefault="00BD71B7" w:rsidP="00BD71B7">
      <w:pPr>
        <w:numPr>
          <w:ilvl w:val="0"/>
          <w:numId w:val="4"/>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Lack of comprehensive data within organisational settings prevents a full understanding of why pay gaps persist.</w:t>
      </w:r>
    </w:p>
    <w:p w14:paraId="34FA97BF" w14:textId="77777777" w:rsidR="00BD71B7" w:rsidRPr="00BD71B7" w:rsidRDefault="00BD71B7" w:rsidP="00BD71B7">
      <w:pPr>
        <w:numPr>
          <w:ilvl w:val="0"/>
          <w:numId w:val="4"/>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Policies, procedures, and workplace cultures are not systematically scrutinised, allowing hidden gender-based disparities to go unnoticed. </w:t>
      </w:r>
    </w:p>
    <w:p w14:paraId="0C9C5547" w14:textId="77777777" w:rsidR="00BD71B7" w:rsidRPr="00BD71B7" w:rsidRDefault="00BD71B7" w:rsidP="00BD71B7">
      <w:pPr>
        <w:numPr>
          <w:ilvl w:val="0"/>
          <w:numId w:val="4"/>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Insufficient publicly available data may create obstacles to a complete understanding of GPG and the development of effective, targeted policies.</w:t>
      </w:r>
    </w:p>
    <w:p w14:paraId="648044EE" w14:textId="77777777" w:rsidR="00BD71B7" w:rsidRPr="00BD71B7" w:rsidRDefault="00BD71B7" w:rsidP="00BD71B7">
      <w:pPr>
        <w:numPr>
          <w:ilvl w:val="0"/>
          <w:numId w:val="4"/>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lastRenderedPageBreak/>
        <w:t>Understanding that even when gaps are identified, there is little accountability to ensure remedial measures are implemented.</w:t>
      </w:r>
    </w:p>
    <w:p w14:paraId="27E14AE2" w14:textId="77777777" w:rsidR="00BD71B7" w:rsidRPr="00BD71B7" w:rsidRDefault="00BD71B7" w:rsidP="00BD71B7">
      <w:pPr>
        <w:numPr>
          <w:ilvl w:val="0"/>
          <w:numId w:val="4"/>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Recognition that many initiatives put in place in compliance with current laws focus on empowering women (e.g., leadership programs, mentorships), without addressing the structural issues such as biases in hiring, promotions, and pay structures.</w:t>
      </w:r>
    </w:p>
    <w:p w14:paraId="09029393" w14:textId="77777777" w:rsidR="00BD71B7" w:rsidRPr="00BD71B7" w:rsidRDefault="00BD71B7" w:rsidP="00BD71B7">
      <w:pPr>
        <w:numPr>
          <w:ilvl w:val="0"/>
          <w:numId w:val="4"/>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GPG data often considers women as a homogenous group, ignoring how other traits, such as race, disability, socioeconomic status, and other factors create compounded pay inequalities.</w:t>
      </w:r>
    </w:p>
    <w:p w14:paraId="42E42F37" w14:textId="77777777" w:rsidR="00BD71B7" w:rsidRPr="00BD71B7" w:rsidRDefault="00BD71B7" w:rsidP="00BD71B7">
      <w:pPr>
        <w:numPr>
          <w:ilvl w:val="0"/>
          <w:numId w:val="4"/>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Stereotypes, gender norms, workplace cultures about leadership, competence and traditional roles are rarely addressed in formal policies.</w:t>
      </w:r>
    </w:p>
    <w:p w14:paraId="46F42F64" w14:textId="77777777" w:rsidR="00BD71B7" w:rsidRPr="00BD71B7" w:rsidRDefault="00BD71B7" w:rsidP="00BD71B7">
      <w:pPr>
        <w:numPr>
          <w:ilvl w:val="0"/>
          <w:numId w:val="4"/>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The burden of proof to challenge pay discrimination is often placed on the victim, rather than on organisations to prevent it.</w:t>
      </w:r>
    </w:p>
    <w:p w14:paraId="20CAE413" w14:textId="77777777" w:rsidR="00BD71B7" w:rsidRPr="00BD71B7" w:rsidRDefault="00BD71B7" w:rsidP="00BD71B7">
      <w:pPr>
        <w:numPr>
          <w:ilvl w:val="0"/>
          <w:numId w:val="4"/>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The transposition of international and EU legal policies into national law is not always done appropriately, leading to gaps in implementation. </w:t>
      </w:r>
    </w:p>
    <w:p w14:paraId="229C7117" w14:textId="77777777" w:rsidR="00BD71B7" w:rsidRPr="00BD71B7" w:rsidRDefault="00BD71B7" w:rsidP="00BD71B7">
      <w:pPr>
        <w:rPr>
          <w:rFonts w:ascii="Calibri" w:eastAsia="Calibri" w:hAnsi="Calibri" w:cs="Calibri"/>
          <w:color w:val="000000"/>
          <w:sz w:val="22"/>
          <w:szCs w:val="22"/>
          <w:lang w:val="en-GB"/>
        </w:rPr>
      </w:pPr>
    </w:p>
    <w:p w14:paraId="66AB3E12"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xml:space="preserve">Lastly, to bridge these gaps and move towards transformative equality, the proposed </w:t>
      </w:r>
      <w:r w:rsidRPr="00BD71B7">
        <w:rPr>
          <w:rFonts w:ascii="Calibri" w:eastAsia="Calibri" w:hAnsi="Calibri" w:cs="Calibri"/>
          <w:b/>
          <w:color w:val="000000"/>
          <w:sz w:val="22"/>
          <w:szCs w:val="22"/>
          <w:lang w:val="en-GB"/>
        </w:rPr>
        <w:t>actions</w:t>
      </w:r>
      <w:r w:rsidRPr="00BD71B7">
        <w:rPr>
          <w:rFonts w:ascii="Calibri" w:eastAsia="Calibri" w:hAnsi="Calibri" w:cs="Calibri"/>
          <w:color w:val="000000"/>
          <w:sz w:val="22"/>
          <w:szCs w:val="22"/>
          <w:lang w:val="en-GB"/>
        </w:rPr>
        <w:t xml:space="preserve"> should contribute to the 're-wiring' of institutions towards a transformative equality approach and not be intended to ‘fixing the women’. Therefore, the following actions are recommended:</w:t>
      </w:r>
    </w:p>
    <w:p w14:paraId="527913A7" w14:textId="77777777" w:rsidR="00BD71B7" w:rsidRPr="00BD71B7" w:rsidRDefault="00BD71B7" w:rsidP="00BD71B7">
      <w:pPr>
        <w:rPr>
          <w:rFonts w:ascii="Calibri" w:eastAsia="Calibri" w:hAnsi="Calibri" w:cs="Calibri"/>
          <w:color w:val="000000"/>
          <w:sz w:val="22"/>
          <w:szCs w:val="22"/>
          <w:lang w:val="en-GB"/>
        </w:rPr>
      </w:pPr>
    </w:p>
    <w:p w14:paraId="09F3C2B7" w14:textId="77777777" w:rsidR="00BD71B7" w:rsidRPr="00BD71B7" w:rsidRDefault="00BD71B7" w:rsidP="00BD71B7">
      <w:pPr>
        <w:numPr>
          <w:ilvl w:val="0"/>
          <w:numId w:val="5"/>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Implement positive obligations within organisations and sectors, including the adoption of tailored strategies, focused measures, specific targets, impact reports and detailed metrics in the light of the identified barriers. Positive actions that effectively address the issues identified should also be contemplated. Similarly, development of intersectional GPG policies should also be prioritised. </w:t>
      </w:r>
    </w:p>
    <w:p w14:paraId="6781A02C" w14:textId="77777777" w:rsidR="00BD71B7" w:rsidRPr="00BD71B7" w:rsidRDefault="00BD71B7" w:rsidP="00BD71B7">
      <w:pPr>
        <w:numPr>
          <w:ilvl w:val="0"/>
          <w:numId w:val="5"/>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Accountability mechanisms must be established for implementing, monitoring, and enforcing positive obligations. </w:t>
      </w:r>
    </w:p>
    <w:p w14:paraId="72EAB2F0" w14:textId="77777777" w:rsidR="00BD71B7" w:rsidRPr="00BD71B7" w:rsidRDefault="00BD71B7" w:rsidP="00BD71B7">
      <w:pPr>
        <w:numPr>
          <w:ilvl w:val="0"/>
          <w:numId w:val="5"/>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National transpositions of legislation should align with and build upon existing international and EU legal frameworks, which impose obligations necessary for change. Inconsistent national transpositions of international and EU legal policies create enforcement gaps, often justified by cultural or political contexts.</w:t>
      </w:r>
    </w:p>
    <w:p w14:paraId="30DFA42A" w14:textId="77777777" w:rsidR="00BD71B7" w:rsidRPr="00BD71B7" w:rsidRDefault="00BD71B7" w:rsidP="00BD71B7">
      <w:pPr>
        <w:numPr>
          <w:ilvl w:val="0"/>
          <w:numId w:val="5"/>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The design of new legislation and policies should actively address cultural and symbolic barriers. </w:t>
      </w:r>
    </w:p>
    <w:p w14:paraId="0EA9A638" w14:textId="77777777" w:rsidR="00BD71B7" w:rsidRPr="00BD71B7" w:rsidRDefault="00BD71B7" w:rsidP="00BD71B7">
      <w:pPr>
        <w:numPr>
          <w:ilvl w:val="0"/>
          <w:numId w:val="5"/>
        </w:numPr>
        <w:suppressAutoHyphens w:val="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Challenge stereotypes by emphasising women’s capabilities rather than perceived vulnerabilities, adopt inclusive, gender-sensitive language in communications, policies, and reports to ensure women are portrayed as equal to their male counterparts. </w:t>
      </w:r>
    </w:p>
    <w:p w14:paraId="1D5A6659" w14:textId="77777777" w:rsidR="00BD71B7" w:rsidRPr="00BD71B7" w:rsidRDefault="00BD71B7" w:rsidP="00BD71B7">
      <w:pPr>
        <w:numPr>
          <w:ilvl w:val="0"/>
          <w:numId w:val="5"/>
        </w:numPr>
        <w:suppressAutoHyphens w:val="0"/>
        <w:spacing w:after="160"/>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Actively engage men as allies in reshaping these narratives and promoting shared responsibility for change.</w:t>
      </w:r>
    </w:p>
    <w:p w14:paraId="30151A0F" w14:textId="77777777" w:rsid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 xml:space="preserve">To conclude, the research conducted for </w:t>
      </w:r>
      <w:r w:rsidRPr="00BD71B7">
        <w:rPr>
          <w:rFonts w:ascii="Calibri" w:eastAsia="Calibri" w:hAnsi="Calibri" w:cs="Calibri"/>
          <w:b/>
          <w:color w:val="000000"/>
          <w:sz w:val="22"/>
          <w:szCs w:val="22"/>
          <w:lang w:val="en-GB"/>
        </w:rPr>
        <w:t>step 1</w:t>
      </w:r>
      <w:r w:rsidRPr="00BD71B7">
        <w:rPr>
          <w:rFonts w:ascii="Calibri" w:eastAsia="Calibri" w:hAnsi="Calibri" w:cs="Calibri"/>
          <w:color w:val="000000"/>
          <w:sz w:val="22"/>
          <w:szCs w:val="22"/>
          <w:lang w:val="en-GB"/>
        </w:rPr>
        <w:t xml:space="preserve"> and </w:t>
      </w:r>
      <w:r w:rsidRPr="00BD71B7">
        <w:rPr>
          <w:rFonts w:ascii="Calibri" w:eastAsia="Calibri" w:hAnsi="Calibri" w:cs="Calibri"/>
          <w:b/>
          <w:color w:val="000000"/>
          <w:sz w:val="22"/>
          <w:szCs w:val="22"/>
          <w:lang w:val="en-GB"/>
        </w:rPr>
        <w:t>2</w:t>
      </w:r>
      <w:r w:rsidRPr="00BD71B7">
        <w:rPr>
          <w:rFonts w:ascii="Calibri" w:eastAsia="Calibri" w:hAnsi="Calibri" w:cs="Calibri"/>
          <w:color w:val="000000"/>
          <w:sz w:val="22"/>
          <w:szCs w:val="22"/>
          <w:lang w:val="en-GB"/>
        </w:rPr>
        <w:t xml:space="preserve"> (acknowledgment and diagnosis, identification of gaps) is based on an </w:t>
      </w:r>
      <w:r w:rsidRPr="00BD71B7">
        <w:rPr>
          <w:rFonts w:ascii="Calibri" w:eastAsia="Calibri" w:hAnsi="Calibri" w:cs="Calibri"/>
          <w:b/>
          <w:color w:val="000000"/>
          <w:sz w:val="22"/>
          <w:szCs w:val="22"/>
          <w:lang w:val="en-GB"/>
        </w:rPr>
        <w:t>extensive review of literature</w:t>
      </w:r>
      <w:r w:rsidRPr="00BD71B7">
        <w:rPr>
          <w:rFonts w:ascii="Calibri" w:eastAsia="Calibri" w:hAnsi="Calibri" w:cs="Calibri"/>
          <w:color w:val="000000"/>
          <w:sz w:val="22"/>
          <w:szCs w:val="22"/>
          <w:lang w:val="en-GB"/>
        </w:rPr>
        <w:t xml:space="preserve">, data, and statistics, drawing from multiple disciplinary fields, including law, economics, political science and governance, social sciences, and gender studies. It contributes to the existing body of research on the root causes of the GPG not only integrating insights and data from diverse fields but also by examining them through the lens of the TEA methodology. Moreover, it critically investigate the existing national and EU legislative frameworks, assessing their effectiveness, limitations, and implementation gaps in facing pay disparities. </w:t>
      </w:r>
      <w:r w:rsidRPr="00BD71B7">
        <w:rPr>
          <w:rFonts w:ascii="Calibri" w:eastAsia="Calibri" w:hAnsi="Calibri" w:cs="Calibri"/>
          <w:sz w:val="22"/>
          <w:szCs w:val="22"/>
          <w:lang w:val="en-GB"/>
        </w:rPr>
        <w:t xml:space="preserve">The literature review carried out has provided the theoretical framework necessary to understand the root causes of the GPG and established the legal framework to identify the relevant legislation and compliance mechanisms in the consortium countries. Although the </w:t>
      </w:r>
      <w:r w:rsidRPr="00BD71B7">
        <w:rPr>
          <w:rFonts w:ascii="Calibri" w:eastAsia="Calibri" w:hAnsi="Calibri" w:cs="Calibri"/>
          <w:sz w:val="22"/>
          <w:szCs w:val="22"/>
          <w:lang w:val="en-GB"/>
        </w:rPr>
        <w:lastRenderedPageBreak/>
        <w:t xml:space="preserve">concepts of GPG and equal pay differ, they are intrinsically connected, as equal pay legislation and transparency mechanisms are specifically designed to address and mitigate the GPG. Thus, reducing the GPG is crucial for achieving equal pay. </w:t>
      </w:r>
      <w:r w:rsidRPr="00BD71B7">
        <w:rPr>
          <w:rFonts w:ascii="Calibri" w:eastAsia="Calibri" w:hAnsi="Calibri" w:cs="Calibri"/>
          <w:color w:val="000000"/>
          <w:sz w:val="22"/>
          <w:szCs w:val="22"/>
          <w:lang w:val="en-GB"/>
        </w:rPr>
        <w:t xml:space="preserve">As specified, the literature review is complemented by innovative field-based research, including </w:t>
      </w:r>
      <w:r w:rsidRPr="00BD71B7">
        <w:rPr>
          <w:rFonts w:ascii="Calibri" w:eastAsia="Calibri" w:hAnsi="Calibri" w:cs="Calibri"/>
          <w:b/>
          <w:color w:val="000000"/>
          <w:sz w:val="22"/>
          <w:szCs w:val="22"/>
          <w:lang w:val="en-GB"/>
        </w:rPr>
        <w:t>reviews</w:t>
      </w:r>
      <w:r w:rsidRPr="00BD71B7">
        <w:rPr>
          <w:rFonts w:ascii="Calibri" w:eastAsia="Calibri" w:hAnsi="Calibri" w:cs="Calibri"/>
          <w:color w:val="000000"/>
          <w:sz w:val="22"/>
          <w:szCs w:val="22"/>
          <w:lang w:val="en-GB"/>
        </w:rPr>
        <w:t xml:space="preserve"> of policy documents, initiatives and efforts put in place to tackle the GPG as well as </w:t>
      </w:r>
      <w:r w:rsidRPr="00BD71B7">
        <w:rPr>
          <w:rFonts w:ascii="Calibri" w:eastAsia="Calibri" w:hAnsi="Calibri" w:cs="Calibri"/>
          <w:b/>
          <w:color w:val="000000"/>
          <w:sz w:val="22"/>
          <w:szCs w:val="22"/>
          <w:lang w:val="en-GB"/>
        </w:rPr>
        <w:t>interviews</w:t>
      </w:r>
      <w:r w:rsidRPr="00BD71B7">
        <w:rPr>
          <w:rFonts w:ascii="Calibri" w:eastAsia="Calibri" w:hAnsi="Calibri" w:cs="Calibri"/>
          <w:color w:val="000000"/>
          <w:sz w:val="22"/>
          <w:szCs w:val="22"/>
          <w:lang w:val="en-GB"/>
        </w:rPr>
        <w:t xml:space="preserve"> in the consortium countries with sectoral representatives and relevant stakeholders to confirm the identified gaps and to present transformative actions (</w:t>
      </w:r>
      <w:r w:rsidRPr="00BD71B7">
        <w:rPr>
          <w:rFonts w:ascii="Calibri" w:eastAsia="Calibri" w:hAnsi="Calibri" w:cs="Calibri"/>
          <w:b/>
          <w:color w:val="000000"/>
          <w:sz w:val="22"/>
          <w:szCs w:val="22"/>
          <w:lang w:val="en-GB"/>
        </w:rPr>
        <w:t>step 3</w:t>
      </w:r>
      <w:r w:rsidRPr="00BD71B7">
        <w:rPr>
          <w:rFonts w:ascii="Calibri" w:eastAsia="Calibri" w:hAnsi="Calibri" w:cs="Calibri"/>
          <w:color w:val="000000"/>
          <w:sz w:val="22"/>
          <w:szCs w:val="22"/>
          <w:lang w:val="en-GB"/>
        </w:rPr>
        <w:t xml:space="preserve">). The synthesis of these results has led to the creation of the deliverable and the </w:t>
      </w:r>
      <w:r w:rsidRPr="00BD71B7">
        <w:rPr>
          <w:rFonts w:ascii="Calibri" w:eastAsia="Calibri" w:hAnsi="Calibri" w:cs="Calibri"/>
          <w:b/>
          <w:color w:val="000000"/>
          <w:sz w:val="22"/>
          <w:szCs w:val="22"/>
          <w:lang w:val="en-GB"/>
        </w:rPr>
        <w:t>good</w:t>
      </w:r>
      <w:r w:rsidRPr="00BD71B7">
        <w:rPr>
          <w:rFonts w:ascii="Calibri" w:eastAsia="Calibri" w:hAnsi="Calibri" w:cs="Calibri"/>
          <w:color w:val="000000"/>
          <w:sz w:val="22"/>
          <w:szCs w:val="22"/>
          <w:lang w:val="en-GB"/>
        </w:rPr>
        <w:t xml:space="preserve"> </w:t>
      </w:r>
      <w:r w:rsidRPr="00BD71B7">
        <w:rPr>
          <w:rFonts w:ascii="Calibri" w:eastAsia="Calibri" w:hAnsi="Calibri" w:cs="Calibri"/>
          <w:b/>
          <w:color w:val="000000"/>
          <w:sz w:val="22"/>
          <w:szCs w:val="22"/>
          <w:lang w:val="en-GB"/>
        </w:rPr>
        <w:t>practice map</w:t>
      </w:r>
      <w:r w:rsidRPr="00BD71B7">
        <w:rPr>
          <w:rFonts w:ascii="Calibri" w:eastAsia="Calibri" w:hAnsi="Calibri" w:cs="Calibri"/>
          <w:color w:val="000000"/>
          <w:sz w:val="22"/>
          <w:szCs w:val="22"/>
          <w:lang w:val="en-GB"/>
        </w:rPr>
        <w:t>.</w:t>
      </w:r>
    </w:p>
    <w:p w14:paraId="189D3B6A" w14:textId="77777777" w:rsidR="00F03FA2" w:rsidRPr="00BD71B7" w:rsidRDefault="00F03FA2" w:rsidP="00BD71B7">
      <w:pPr>
        <w:jc w:val="both"/>
        <w:rPr>
          <w:rFonts w:ascii="Calibri" w:eastAsia="Calibri" w:hAnsi="Calibri" w:cs="Calibri"/>
          <w:sz w:val="22"/>
          <w:szCs w:val="22"/>
          <w:lang w:val="en-GB"/>
        </w:rPr>
      </w:pPr>
    </w:p>
    <w:p w14:paraId="34956DFE"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 xml:space="preserve">The following section will provide a review of the relevant literature as the conceptual and empirical basis for understanding the challenges the new PTD Directive and pay transparency legislation seek to address. </w:t>
      </w:r>
    </w:p>
    <w:p w14:paraId="17F32A40" w14:textId="77777777" w:rsidR="007F395E" w:rsidRPr="00BD71B7" w:rsidRDefault="007F395E" w:rsidP="00BD71B7">
      <w:pPr>
        <w:jc w:val="both"/>
        <w:rPr>
          <w:rFonts w:ascii="Calibri" w:eastAsia="Calibri" w:hAnsi="Calibri" w:cs="Calibri"/>
          <w:sz w:val="22"/>
          <w:szCs w:val="22"/>
          <w:lang w:val="en-GB"/>
        </w:rPr>
      </w:pPr>
    </w:p>
    <w:p w14:paraId="63A97A1F" w14:textId="77777777" w:rsidR="00BD71B7" w:rsidRPr="00F03FA2" w:rsidRDefault="00BD71B7" w:rsidP="00097F8D">
      <w:pPr>
        <w:pStyle w:val="Heading1"/>
      </w:pPr>
      <w:bookmarkStart w:id="5" w:name="_Toc211587524"/>
      <w:r w:rsidRPr="00F03FA2">
        <w:t>3.Understanding the Root Causes of the Gender Pay Gap: A Summary of Theoretical Frameworks</w:t>
      </w:r>
      <w:bookmarkEnd w:id="5"/>
    </w:p>
    <w:p w14:paraId="6DFA2CE9" w14:textId="77777777" w:rsidR="007F395E" w:rsidRPr="00BD71B7" w:rsidRDefault="007F395E" w:rsidP="00BD71B7">
      <w:pPr>
        <w:jc w:val="both"/>
        <w:rPr>
          <w:rFonts w:ascii="Calibri" w:eastAsia="Calibri" w:hAnsi="Calibri" w:cs="Calibri"/>
          <w:b/>
          <w:color w:val="7731D8"/>
          <w:sz w:val="22"/>
          <w:szCs w:val="22"/>
          <w:lang w:val="en-GB"/>
        </w:rPr>
      </w:pPr>
    </w:p>
    <w:p w14:paraId="77BED0B9" w14:textId="77777777" w:rsidR="00BD71B7" w:rsidRP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As pointed out by Blau and Kahn, the two primary factors that contribute to the difference in earnings between women and men are either linked to their qualifications or to the treatment they are reserved.</w:t>
      </w:r>
      <w:r w:rsidRPr="00BD71B7">
        <w:rPr>
          <w:rFonts w:ascii="Calibri" w:eastAsia="Calibri" w:hAnsi="Calibri" w:cs="Calibri"/>
          <w:sz w:val="22"/>
          <w:szCs w:val="22"/>
          <w:vertAlign w:val="superscript"/>
          <w:lang w:val="en-GB"/>
        </w:rPr>
        <w:footnoteReference w:id="14"/>
      </w:r>
      <w:r w:rsidRPr="00BD71B7">
        <w:rPr>
          <w:rFonts w:ascii="Calibri" w:eastAsia="Calibri" w:hAnsi="Calibri" w:cs="Calibri"/>
          <w:sz w:val="22"/>
          <w:szCs w:val="22"/>
          <w:lang w:val="en-GB"/>
        </w:rPr>
        <w:t xml:space="preserve"> Based on this assumption, different theoretical models have been developed, with the most established in the literature consisting of the human capital model and discrimination-based models. </w:t>
      </w:r>
    </w:p>
    <w:p w14:paraId="722AF27E" w14:textId="77777777" w:rsidR="00F03FA2" w:rsidRDefault="00F03FA2" w:rsidP="00BD71B7">
      <w:pPr>
        <w:jc w:val="both"/>
        <w:rPr>
          <w:rFonts w:ascii="Calibri" w:eastAsia="Calibri" w:hAnsi="Calibri" w:cs="Calibri"/>
          <w:sz w:val="22"/>
          <w:szCs w:val="22"/>
          <w:lang w:val="en-GB"/>
        </w:rPr>
      </w:pPr>
    </w:p>
    <w:p w14:paraId="6E5A44C3" w14:textId="6100AE48" w:rsidR="00BD71B7" w:rsidRP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 xml:space="preserve">The </w:t>
      </w:r>
      <w:r w:rsidRPr="00BD71B7">
        <w:rPr>
          <w:rFonts w:ascii="Calibri" w:eastAsia="Calibri" w:hAnsi="Calibri" w:cs="Calibri"/>
          <w:b/>
          <w:sz w:val="22"/>
          <w:szCs w:val="22"/>
          <w:lang w:val="en-GB"/>
        </w:rPr>
        <w:t>Human Capital Theory</w:t>
      </w:r>
      <w:r w:rsidRPr="00BD71B7">
        <w:rPr>
          <w:rFonts w:ascii="Calibri" w:eastAsia="Calibri" w:hAnsi="Calibri" w:cs="Calibri"/>
          <w:sz w:val="22"/>
          <w:szCs w:val="22"/>
          <w:lang w:val="en-GB"/>
        </w:rPr>
        <w:t xml:space="preserve"> is crucial to explain the role played by education and experience in the enhancement of the individuals’ value. Earnings are often assumed to result from investments in human capital. However, </w:t>
      </w:r>
      <w:r w:rsidRPr="00BD71B7">
        <w:rPr>
          <w:rFonts w:ascii="Calibri" w:eastAsia="Calibri" w:hAnsi="Calibri" w:cs="Calibri"/>
          <w:b/>
          <w:sz w:val="22"/>
          <w:szCs w:val="22"/>
          <w:lang w:val="en-GB"/>
        </w:rPr>
        <w:t>discrimination theories</w:t>
      </w:r>
      <w:r w:rsidRPr="00BD71B7">
        <w:rPr>
          <w:rFonts w:ascii="Calibri" w:eastAsia="Calibri" w:hAnsi="Calibri" w:cs="Calibri"/>
          <w:sz w:val="22"/>
          <w:szCs w:val="22"/>
          <w:lang w:val="en-GB"/>
        </w:rPr>
        <w:t xml:space="preserve"> suggest that biases, stereotypes, and systemic discrimination in the labour market contribute to earnings differentials. These theories, including labour market discrimination models, emphasise the impact of gender and other variables on workplace opportunities and outcomes. Additional frameworks considered in this analysis are the </w:t>
      </w:r>
      <w:r w:rsidRPr="00BD71B7">
        <w:rPr>
          <w:rFonts w:ascii="Calibri" w:eastAsia="Calibri" w:hAnsi="Calibri" w:cs="Calibri"/>
          <w:b/>
          <w:sz w:val="22"/>
          <w:szCs w:val="22"/>
          <w:lang w:val="en-GB"/>
        </w:rPr>
        <w:t>gender segregation model</w:t>
      </w:r>
      <w:r w:rsidRPr="00BD71B7">
        <w:rPr>
          <w:rFonts w:ascii="Calibri" w:eastAsia="Calibri" w:hAnsi="Calibri" w:cs="Calibri"/>
          <w:sz w:val="22"/>
          <w:szCs w:val="22"/>
          <w:lang w:val="en-GB"/>
        </w:rPr>
        <w:t xml:space="preserve">, the </w:t>
      </w:r>
      <w:r w:rsidRPr="00BD71B7">
        <w:rPr>
          <w:rFonts w:ascii="Calibri" w:eastAsia="Calibri" w:hAnsi="Calibri" w:cs="Calibri"/>
          <w:b/>
          <w:sz w:val="22"/>
          <w:szCs w:val="22"/>
          <w:lang w:val="en-GB"/>
        </w:rPr>
        <w:t>part-time penalty</w:t>
      </w:r>
      <w:r w:rsidRPr="00BD71B7">
        <w:rPr>
          <w:rFonts w:ascii="Calibri" w:eastAsia="Calibri" w:hAnsi="Calibri" w:cs="Calibri"/>
          <w:sz w:val="22"/>
          <w:szCs w:val="22"/>
          <w:lang w:val="en-GB"/>
        </w:rPr>
        <w:t xml:space="preserve">, and the </w:t>
      </w:r>
      <w:r w:rsidRPr="00BD71B7">
        <w:rPr>
          <w:rFonts w:ascii="Calibri" w:eastAsia="Calibri" w:hAnsi="Calibri" w:cs="Calibri"/>
          <w:b/>
          <w:sz w:val="22"/>
          <w:szCs w:val="22"/>
          <w:lang w:val="en-GB"/>
        </w:rPr>
        <w:t>motherhood penalty</w:t>
      </w:r>
      <w:r w:rsidRPr="00BD71B7">
        <w:rPr>
          <w:rFonts w:ascii="Calibri" w:eastAsia="Calibri" w:hAnsi="Calibri" w:cs="Calibri"/>
          <w:sz w:val="22"/>
          <w:szCs w:val="22"/>
          <w:lang w:val="en-GB"/>
        </w:rPr>
        <w:t xml:space="preserve">. </w:t>
      </w:r>
    </w:p>
    <w:p w14:paraId="1049DDF6" w14:textId="77777777" w:rsidR="00F03FA2" w:rsidRDefault="00F03FA2" w:rsidP="00BD71B7">
      <w:pPr>
        <w:jc w:val="both"/>
        <w:rPr>
          <w:rFonts w:ascii="Calibri" w:eastAsia="Calibri" w:hAnsi="Calibri" w:cs="Calibri"/>
          <w:sz w:val="22"/>
          <w:szCs w:val="22"/>
          <w:lang w:val="en-GB"/>
        </w:rPr>
      </w:pPr>
    </w:p>
    <w:p w14:paraId="0B5A34CB" w14:textId="77777777" w:rsidR="00F03FA2"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 xml:space="preserve">According to the </w:t>
      </w:r>
      <w:r w:rsidRPr="00BD71B7">
        <w:rPr>
          <w:rFonts w:ascii="Calibri" w:eastAsia="Calibri" w:hAnsi="Calibri" w:cs="Calibri"/>
          <w:b/>
          <w:sz w:val="22"/>
          <w:szCs w:val="22"/>
          <w:lang w:val="en-GB"/>
        </w:rPr>
        <w:t>Human Capital Theory</w:t>
      </w:r>
      <w:r w:rsidRPr="00BD71B7">
        <w:rPr>
          <w:rFonts w:ascii="Calibri" w:eastAsia="Calibri" w:hAnsi="Calibri" w:cs="Calibri"/>
          <w:sz w:val="22"/>
          <w:szCs w:val="22"/>
          <w:lang w:val="en-GB"/>
        </w:rPr>
        <w:t>, the GPG is theoretically explained as the differences in accumulated human capital between genders.</w:t>
      </w:r>
      <w:r w:rsidRPr="00BD71B7">
        <w:rPr>
          <w:rFonts w:ascii="Calibri" w:eastAsia="Calibri" w:hAnsi="Calibri" w:cs="Calibri"/>
          <w:sz w:val="22"/>
          <w:szCs w:val="22"/>
          <w:vertAlign w:val="superscript"/>
          <w:lang w:val="en-GB"/>
        </w:rPr>
        <w:footnoteReference w:id="15"/>
      </w:r>
      <w:r w:rsidRPr="00BD71B7">
        <w:rPr>
          <w:rFonts w:ascii="Calibri" w:eastAsia="Calibri" w:hAnsi="Calibri" w:cs="Calibri"/>
          <w:sz w:val="22"/>
          <w:szCs w:val="22"/>
          <w:lang w:val="en-GB"/>
        </w:rPr>
        <w:t xml:space="preserve"> In contrast, the portion of the wage disparity that cannot be explained by differences in qualifications based on gender is often attributed to </w:t>
      </w:r>
      <w:r w:rsidRPr="00BD71B7">
        <w:rPr>
          <w:rFonts w:ascii="Calibri" w:eastAsia="Calibri" w:hAnsi="Calibri" w:cs="Calibri"/>
          <w:b/>
          <w:sz w:val="22"/>
          <w:szCs w:val="22"/>
          <w:lang w:val="en-GB"/>
        </w:rPr>
        <w:t>discrimination within the labour market</w:t>
      </w:r>
      <w:r w:rsidRPr="00BD71B7">
        <w:rPr>
          <w:rFonts w:ascii="Calibri" w:eastAsia="Calibri" w:hAnsi="Calibri" w:cs="Calibri"/>
          <w:sz w:val="22"/>
          <w:szCs w:val="22"/>
          <w:lang w:val="en-GB"/>
        </w:rPr>
        <w:t xml:space="preserve">. </w:t>
      </w:r>
    </w:p>
    <w:p w14:paraId="2E7F3428" w14:textId="77777777" w:rsidR="00F03FA2" w:rsidRDefault="00F03FA2" w:rsidP="00BD71B7">
      <w:pPr>
        <w:jc w:val="both"/>
        <w:rPr>
          <w:rFonts w:ascii="Calibri" w:eastAsia="Calibri" w:hAnsi="Calibri" w:cs="Calibri"/>
          <w:sz w:val="22"/>
          <w:szCs w:val="22"/>
          <w:lang w:val="en-GB"/>
        </w:rPr>
      </w:pPr>
    </w:p>
    <w:p w14:paraId="180CDAEA" w14:textId="1EA802C6" w:rsidR="00BD71B7" w:rsidRP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In this context, the theory proposed by Becker explains that the GPG happens because women suffer discrimination due to taste and behaviours of other individuals.</w:t>
      </w:r>
      <w:r w:rsidRPr="00BD71B7">
        <w:rPr>
          <w:rFonts w:ascii="Calibri" w:eastAsia="Calibri" w:hAnsi="Calibri" w:cs="Calibri"/>
          <w:sz w:val="22"/>
          <w:szCs w:val="22"/>
          <w:vertAlign w:val="superscript"/>
          <w:lang w:val="en-GB"/>
        </w:rPr>
        <w:footnoteReference w:id="16"/>
      </w:r>
      <w:r w:rsidRPr="00BD71B7">
        <w:rPr>
          <w:rFonts w:ascii="Calibri" w:eastAsia="Calibri" w:hAnsi="Calibri" w:cs="Calibri"/>
          <w:sz w:val="22"/>
          <w:szCs w:val="22"/>
          <w:lang w:val="en-GB"/>
        </w:rPr>
        <w:t xml:space="preserve"> The </w:t>
      </w:r>
      <w:r w:rsidRPr="00BD71B7">
        <w:rPr>
          <w:rFonts w:ascii="Calibri" w:eastAsia="Calibri" w:hAnsi="Calibri" w:cs="Calibri"/>
          <w:b/>
          <w:sz w:val="22"/>
          <w:szCs w:val="22"/>
          <w:lang w:val="en-GB"/>
        </w:rPr>
        <w:t>taste-based discrimination</w:t>
      </w:r>
      <w:r w:rsidRPr="00BD71B7">
        <w:rPr>
          <w:rFonts w:ascii="Calibri" w:eastAsia="Calibri" w:hAnsi="Calibri" w:cs="Calibri"/>
          <w:sz w:val="22"/>
          <w:szCs w:val="22"/>
          <w:lang w:val="en-GB"/>
        </w:rPr>
        <w:t xml:space="preserve"> model implies that employers, for instance, may be more willing to hire women in subordinate positions rather than place them in managerial roles.</w:t>
      </w:r>
      <w:r w:rsidRPr="00BD71B7">
        <w:rPr>
          <w:rFonts w:ascii="Calibri" w:eastAsia="Calibri" w:hAnsi="Calibri" w:cs="Calibri"/>
          <w:sz w:val="22"/>
          <w:szCs w:val="22"/>
          <w:vertAlign w:val="superscript"/>
          <w:lang w:val="en-GB"/>
        </w:rPr>
        <w:footnoteReference w:id="17"/>
      </w:r>
      <w:r w:rsidRPr="00BD71B7">
        <w:rPr>
          <w:rFonts w:ascii="Calibri" w:eastAsia="Calibri" w:hAnsi="Calibri" w:cs="Calibri"/>
          <w:sz w:val="22"/>
          <w:szCs w:val="22"/>
          <w:lang w:val="en-GB"/>
        </w:rPr>
        <w:t xml:space="preserve"> The model of </w:t>
      </w:r>
      <w:r w:rsidRPr="00BD71B7">
        <w:rPr>
          <w:rFonts w:ascii="Calibri" w:eastAsia="Calibri" w:hAnsi="Calibri" w:cs="Calibri"/>
          <w:b/>
          <w:sz w:val="22"/>
          <w:szCs w:val="22"/>
          <w:lang w:val="en-GB"/>
        </w:rPr>
        <w:t>Statistical Discrimination</w:t>
      </w:r>
      <w:r w:rsidRPr="00BD71B7">
        <w:rPr>
          <w:rFonts w:ascii="Calibri" w:eastAsia="Calibri" w:hAnsi="Calibri" w:cs="Calibri"/>
          <w:sz w:val="22"/>
          <w:szCs w:val="22"/>
          <w:lang w:val="en-GB"/>
        </w:rPr>
        <w:t xml:space="preserve"> elaborated by Phelps established that since collecting information on workers' skills and abilities can be expensive, employers may resort to relying on traditional gender stereotypes.</w:t>
      </w:r>
      <w:r w:rsidRPr="00BD71B7">
        <w:rPr>
          <w:rFonts w:ascii="Calibri" w:eastAsia="Calibri" w:hAnsi="Calibri" w:cs="Calibri"/>
          <w:sz w:val="22"/>
          <w:szCs w:val="22"/>
          <w:vertAlign w:val="superscript"/>
          <w:lang w:val="en-GB"/>
        </w:rPr>
        <w:footnoteReference w:id="18"/>
      </w:r>
      <w:r w:rsidRPr="00BD71B7">
        <w:rPr>
          <w:rFonts w:ascii="Calibri" w:eastAsia="Calibri" w:hAnsi="Calibri" w:cs="Calibri"/>
          <w:sz w:val="22"/>
          <w:szCs w:val="22"/>
          <w:lang w:val="en-GB"/>
        </w:rPr>
        <w:t xml:space="preserve"> The other theory of discrimination is known as </w:t>
      </w:r>
      <w:r w:rsidRPr="00BD71B7">
        <w:rPr>
          <w:rFonts w:ascii="Calibri" w:eastAsia="Calibri" w:hAnsi="Calibri" w:cs="Calibri"/>
          <w:b/>
          <w:sz w:val="22"/>
          <w:szCs w:val="22"/>
          <w:lang w:val="en-GB"/>
        </w:rPr>
        <w:t>Crowding</w:t>
      </w:r>
      <w:r w:rsidRPr="00BD71B7">
        <w:rPr>
          <w:rFonts w:ascii="Calibri" w:eastAsia="Calibri" w:hAnsi="Calibri" w:cs="Calibri"/>
          <w:sz w:val="22"/>
          <w:szCs w:val="22"/>
          <w:lang w:val="en-GB"/>
        </w:rPr>
        <w:t xml:space="preserve">. This </w:t>
      </w:r>
      <w:r w:rsidRPr="00BD71B7">
        <w:rPr>
          <w:rFonts w:ascii="Calibri" w:eastAsia="Calibri" w:hAnsi="Calibri" w:cs="Calibri"/>
          <w:sz w:val="22"/>
          <w:szCs w:val="22"/>
          <w:lang w:val="en-GB"/>
        </w:rPr>
        <w:lastRenderedPageBreak/>
        <w:t>model has been established by Bergmann. She pointed out that different forms of indirect discrimination limit women and minorities to low-prestige industries with few advancement opportunities, resulting in a crowded job market and intense competition.</w:t>
      </w:r>
      <w:r w:rsidRPr="00BD71B7">
        <w:rPr>
          <w:rFonts w:ascii="Calibri" w:eastAsia="Calibri" w:hAnsi="Calibri" w:cs="Calibri"/>
          <w:sz w:val="22"/>
          <w:szCs w:val="22"/>
          <w:vertAlign w:val="superscript"/>
          <w:lang w:val="en-GB"/>
        </w:rPr>
        <w:footnoteReference w:id="19"/>
      </w:r>
    </w:p>
    <w:p w14:paraId="45268F38" w14:textId="77777777" w:rsidR="00F03FA2" w:rsidRDefault="00F03FA2" w:rsidP="00BD71B7">
      <w:pPr>
        <w:jc w:val="both"/>
        <w:rPr>
          <w:rFonts w:ascii="Calibri" w:eastAsia="Calibri" w:hAnsi="Calibri" w:cs="Calibri"/>
          <w:b/>
          <w:sz w:val="22"/>
          <w:szCs w:val="22"/>
          <w:lang w:val="en-GB"/>
        </w:rPr>
      </w:pPr>
    </w:p>
    <w:p w14:paraId="16A38FD8" w14:textId="148D78A2" w:rsidR="00BD71B7" w:rsidRDefault="00BD71B7" w:rsidP="00BD71B7">
      <w:pPr>
        <w:jc w:val="both"/>
        <w:rPr>
          <w:rFonts w:ascii="Calibri" w:eastAsia="Calibri" w:hAnsi="Calibri" w:cs="Calibri"/>
          <w:sz w:val="22"/>
          <w:szCs w:val="22"/>
          <w:lang w:val="en-GB"/>
        </w:rPr>
      </w:pPr>
      <w:r w:rsidRPr="00BD71B7">
        <w:rPr>
          <w:rFonts w:ascii="Calibri" w:eastAsia="Calibri" w:hAnsi="Calibri" w:cs="Calibri"/>
          <w:b/>
          <w:sz w:val="22"/>
          <w:szCs w:val="22"/>
          <w:lang w:val="en-GB"/>
        </w:rPr>
        <w:t>Gender segregation</w:t>
      </w:r>
      <w:r w:rsidRPr="00BD71B7">
        <w:rPr>
          <w:rFonts w:ascii="Calibri" w:eastAsia="Calibri" w:hAnsi="Calibri" w:cs="Calibri"/>
          <w:sz w:val="22"/>
          <w:szCs w:val="22"/>
          <w:lang w:val="en-GB"/>
        </w:rPr>
        <w:t>, prevalent across industrialised countries, is commonly categorised in the literature as either vertical or horizontal. Vertical segregation refers to the lack of career advancement opportunities for women to reach higher-ranking positions within an organisation.</w:t>
      </w:r>
      <w:r w:rsidRPr="00BD71B7">
        <w:rPr>
          <w:rFonts w:ascii="Calibri" w:eastAsia="Calibri" w:hAnsi="Calibri" w:cs="Calibri"/>
          <w:sz w:val="22"/>
          <w:szCs w:val="22"/>
          <w:vertAlign w:val="superscript"/>
          <w:lang w:val="en-GB"/>
        </w:rPr>
        <w:footnoteReference w:id="20"/>
      </w:r>
      <w:r w:rsidRPr="00BD71B7">
        <w:rPr>
          <w:rFonts w:ascii="Calibri" w:eastAsia="Calibri" w:hAnsi="Calibri" w:cs="Calibri"/>
          <w:sz w:val="22"/>
          <w:szCs w:val="22"/>
          <w:lang w:val="en-GB"/>
        </w:rPr>
        <w:t xml:space="preserve"> In contrast, horizontal segregation pertains to the unequal distribution of women across occupations, sectors, and industries that are overcrowded, require low skill levels, offer low earnings, and are traditionally seen as women's roles.</w:t>
      </w:r>
      <w:r w:rsidRPr="00BD71B7">
        <w:rPr>
          <w:rFonts w:ascii="Calibri" w:eastAsia="Calibri" w:hAnsi="Calibri" w:cs="Calibri"/>
          <w:sz w:val="22"/>
          <w:szCs w:val="22"/>
          <w:vertAlign w:val="superscript"/>
          <w:lang w:val="en-GB"/>
        </w:rPr>
        <w:footnoteReference w:id="21"/>
      </w:r>
      <w:r w:rsidR="00F03FA2">
        <w:rPr>
          <w:rFonts w:ascii="Calibri" w:eastAsia="Calibri" w:hAnsi="Calibri" w:cs="Calibri"/>
          <w:sz w:val="22"/>
          <w:szCs w:val="22"/>
          <w:lang w:val="en-GB"/>
        </w:rPr>
        <w:t xml:space="preserve"> </w:t>
      </w:r>
      <w:r w:rsidRPr="00BD71B7">
        <w:rPr>
          <w:rFonts w:ascii="Calibri" w:eastAsia="Calibri" w:hAnsi="Calibri" w:cs="Calibri"/>
          <w:sz w:val="22"/>
          <w:szCs w:val="22"/>
          <w:lang w:val="en-GB"/>
        </w:rPr>
        <w:t>As highlighted in the RE-WIRING overarching objectives and outputs, gender stereotypes pervade all aspects of life</w:t>
      </w:r>
      <w:r w:rsidRPr="00BD71B7">
        <w:rPr>
          <w:rFonts w:ascii="Calibri" w:eastAsia="Calibri" w:hAnsi="Calibri" w:cs="Calibri"/>
          <w:sz w:val="22"/>
          <w:szCs w:val="22"/>
          <w:vertAlign w:val="superscript"/>
          <w:lang w:val="en-GB"/>
        </w:rPr>
        <w:footnoteReference w:id="22"/>
      </w:r>
      <w:r w:rsidRPr="00BD71B7">
        <w:rPr>
          <w:rFonts w:ascii="Calibri" w:eastAsia="Calibri" w:hAnsi="Calibri" w:cs="Calibri"/>
          <w:sz w:val="22"/>
          <w:szCs w:val="22"/>
          <w:lang w:val="en-GB"/>
        </w:rPr>
        <w:t xml:space="preserve"> and significantly impact individuals' career choices and their ability to balance work and personal life.</w:t>
      </w:r>
      <w:r w:rsidRPr="00BD71B7">
        <w:rPr>
          <w:rFonts w:ascii="Calibri" w:eastAsia="Calibri" w:hAnsi="Calibri" w:cs="Calibri"/>
          <w:sz w:val="22"/>
          <w:szCs w:val="22"/>
          <w:vertAlign w:val="superscript"/>
          <w:lang w:val="en-GB"/>
        </w:rPr>
        <w:footnoteReference w:id="23"/>
      </w:r>
      <w:r w:rsidRPr="00BD71B7">
        <w:rPr>
          <w:rFonts w:ascii="Calibri" w:eastAsia="Calibri" w:hAnsi="Calibri" w:cs="Calibri"/>
          <w:sz w:val="22"/>
          <w:szCs w:val="22"/>
          <w:lang w:val="en-GB"/>
        </w:rPr>
        <w:t xml:space="preserve"> As a consequence, women frequently choose part-time jobs, leading to precarious work conditions and long-term pay disparities, including pensions, limiting their career decisions.</w:t>
      </w:r>
      <w:r w:rsidRPr="00BD71B7">
        <w:rPr>
          <w:rFonts w:ascii="Calibri" w:eastAsia="Calibri" w:hAnsi="Calibri" w:cs="Calibri"/>
          <w:sz w:val="22"/>
          <w:szCs w:val="22"/>
          <w:vertAlign w:val="superscript"/>
          <w:lang w:val="en-GB"/>
        </w:rPr>
        <w:footnoteReference w:id="24"/>
      </w:r>
    </w:p>
    <w:p w14:paraId="03DB52ED" w14:textId="77777777" w:rsidR="00F03FA2" w:rsidRPr="00BD71B7" w:rsidRDefault="00F03FA2" w:rsidP="00BD71B7">
      <w:pPr>
        <w:jc w:val="both"/>
        <w:rPr>
          <w:rFonts w:ascii="Calibri" w:eastAsia="Calibri" w:hAnsi="Calibri" w:cs="Calibri"/>
          <w:sz w:val="22"/>
          <w:szCs w:val="22"/>
          <w:lang w:val="en-GB"/>
        </w:rPr>
      </w:pPr>
    </w:p>
    <w:p w14:paraId="1BD20DA4" w14:textId="77777777" w:rsidR="00BD71B7" w:rsidRPr="00BD71B7" w:rsidRDefault="00BD71B7" w:rsidP="00BD71B7">
      <w:pPr>
        <w:jc w:val="both"/>
        <w:rPr>
          <w:rFonts w:ascii="Calibri" w:eastAsia="Calibri" w:hAnsi="Calibri" w:cs="Calibri"/>
          <w:sz w:val="22"/>
          <w:szCs w:val="22"/>
          <w:lang w:val="en-GB"/>
        </w:rPr>
      </w:pPr>
      <w:r w:rsidRPr="00BD71B7">
        <w:rPr>
          <w:rFonts w:ascii="Calibri" w:eastAsia="Calibri" w:hAnsi="Calibri" w:cs="Calibri"/>
          <w:b/>
          <w:sz w:val="22"/>
          <w:szCs w:val="22"/>
          <w:lang w:val="en-GB"/>
        </w:rPr>
        <w:t>Part-time penalties</w:t>
      </w:r>
      <w:r w:rsidRPr="00BD71B7">
        <w:rPr>
          <w:rFonts w:ascii="Calibri" w:eastAsia="Calibri" w:hAnsi="Calibri" w:cs="Calibri"/>
          <w:sz w:val="22"/>
          <w:szCs w:val="22"/>
          <w:lang w:val="en-GB"/>
        </w:rPr>
        <w:t xml:space="preserve"> have a significant correlation to </w:t>
      </w:r>
      <w:r w:rsidRPr="00BD71B7">
        <w:rPr>
          <w:rFonts w:ascii="Calibri" w:eastAsia="Calibri" w:hAnsi="Calibri" w:cs="Calibri"/>
          <w:b/>
          <w:sz w:val="22"/>
          <w:szCs w:val="22"/>
          <w:lang w:val="en-GB"/>
        </w:rPr>
        <w:t>motherhood penalties</w:t>
      </w:r>
      <w:r w:rsidRPr="00BD71B7">
        <w:rPr>
          <w:rFonts w:ascii="Calibri" w:eastAsia="Calibri" w:hAnsi="Calibri" w:cs="Calibri"/>
          <w:sz w:val="22"/>
          <w:szCs w:val="22"/>
          <w:lang w:val="en-GB"/>
        </w:rPr>
        <w:t>. As specified, women may opt for jobs with lower salaries but better non-financial benefits, such as greater flexibility in working hours or shorter commutes, to better manage unpaid domestic responsibilities.</w:t>
      </w:r>
      <w:r w:rsidRPr="00BD71B7">
        <w:rPr>
          <w:rFonts w:ascii="Calibri" w:eastAsia="Calibri" w:hAnsi="Calibri" w:cs="Calibri"/>
          <w:sz w:val="22"/>
          <w:szCs w:val="22"/>
          <w:vertAlign w:val="superscript"/>
          <w:lang w:val="en-GB"/>
        </w:rPr>
        <w:footnoteReference w:id="25"/>
      </w:r>
      <w:r w:rsidRPr="00BD71B7">
        <w:rPr>
          <w:rFonts w:ascii="Calibri" w:eastAsia="Calibri" w:hAnsi="Calibri" w:cs="Calibri"/>
          <w:sz w:val="22"/>
          <w:szCs w:val="22"/>
          <w:lang w:val="en-GB"/>
        </w:rPr>
        <w:t xml:space="preserve"> Following this, Nicolás-Martínez, López-Martínez and Riquelme-Perea observed that women may have a preference for another type of employment, yet they are still forced by their family’s obligations or cultural dogmas that allocate care responsibilities mainly to them.</w:t>
      </w:r>
      <w:r w:rsidRPr="00BD71B7">
        <w:rPr>
          <w:rFonts w:ascii="Calibri" w:eastAsia="Calibri" w:hAnsi="Calibri" w:cs="Calibri"/>
          <w:sz w:val="22"/>
          <w:szCs w:val="22"/>
          <w:vertAlign w:val="superscript"/>
          <w:lang w:val="en-GB"/>
        </w:rPr>
        <w:footnoteReference w:id="26"/>
      </w:r>
      <w:r w:rsidRPr="00BD71B7">
        <w:rPr>
          <w:rFonts w:ascii="Calibri" w:eastAsia="Calibri" w:hAnsi="Calibri" w:cs="Calibri"/>
          <w:sz w:val="22"/>
          <w:szCs w:val="22"/>
          <w:lang w:val="en-GB"/>
        </w:rPr>
        <w:t xml:space="preserve"> Similarly, according to Dominguez-Folgueras, González and Lapuerta, although several explanations for the motherhood pay gap can be given, they all hint that the time mothers spend caring for their children significantly increases this gap.</w:t>
      </w:r>
      <w:r w:rsidRPr="00BD71B7">
        <w:rPr>
          <w:rFonts w:ascii="Calibri" w:eastAsia="Calibri" w:hAnsi="Calibri" w:cs="Calibri"/>
          <w:sz w:val="22"/>
          <w:szCs w:val="22"/>
          <w:vertAlign w:val="superscript"/>
          <w:lang w:val="en-GB"/>
        </w:rPr>
        <w:footnoteReference w:id="27"/>
      </w:r>
      <w:r w:rsidRPr="00BD71B7">
        <w:rPr>
          <w:rFonts w:ascii="Calibri" w:eastAsia="Calibri" w:hAnsi="Calibri" w:cs="Calibri"/>
          <w:sz w:val="22"/>
          <w:szCs w:val="22"/>
          <w:lang w:val="en-GB"/>
        </w:rPr>
        <w:t xml:space="preserve"> In this context, it can be argued that the GPG is also inevitably </w:t>
      </w:r>
      <w:r w:rsidRPr="00BD71B7">
        <w:rPr>
          <w:rFonts w:ascii="Calibri" w:eastAsia="Calibri" w:hAnsi="Calibri" w:cs="Calibri"/>
          <w:sz w:val="22"/>
          <w:szCs w:val="22"/>
          <w:lang w:val="en-GB"/>
        </w:rPr>
        <w:lastRenderedPageBreak/>
        <w:t xml:space="preserve">connected to women’s </w:t>
      </w:r>
      <w:r w:rsidRPr="00BD71B7">
        <w:rPr>
          <w:rFonts w:ascii="Calibri" w:eastAsia="Calibri" w:hAnsi="Calibri" w:cs="Calibri"/>
          <w:b/>
          <w:sz w:val="22"/>
          <w:szCs w:val="22"/>
          <w:lang w:val="en-GB"/>
        </w:rPr>
        <w:t>retirement savings</w:t>
      </w:r>
      <w:r w:rsidRPr="00BD71B7">
        <w:rPr>
          <w:rFonts w:ascii="Calibri" w:eastAsia="Calibri" w:hAnsi="Calibri" w:cs="Calibri"/>
          <w:sz w:val="22"/>
          <w:szCs w:val="22"/>
          <w:lang w:val="en-GB"/>
        </w:rPr>
        <w:t xml:space="preserve">. As observed by Gough, part-time work, career interruptions, and types of employment contribute to </w:t>
      </w:r>
      <w:r w:rsidRPr="00BD71B7">
        <w:rPr>
          <w:rFonts w:ascii="Calibri" w:eastAsia="Calibri" w:hAnsi="Calibri" w:cs="Calibri"/>
          <w:b/>
          <w:sz w:val="22"/>
          <w:szCs w:val="22"/>
          <w:lang w:val="en-GB"/>
        </w:rPr>
        <w:t>lower lifetime earnings</w:t>
      </w:r>
      <w:r w:rsidRPr="00BD71B7">
        <w:rPr>
          <w:rFonts w:ascii="Calibri" w:eastAsia="Calibri" w:hAnsi="Calibri" w:cs="Calibri"/>
          <w:sz w:val="22"/>
          <w:szCs w:val="22"/>
          <w:lang w:val="en-GB"/>
        </w:rPr>
        <w:t>, which in turn result in reduced pension entitlements.</w:t>
      </w:r>
      <w:r w:rsidRPr="00BD71B7">
        <w:rPr>
          <w:rFonts w:ascii="Calibri" w:eastAsia="Calibri" w:hAnsi="Calibri" w:cs="Calibri"/>
          <w:sz w:val="22"/>
          <w:szCs w:val="22"/>
          <w:vertAlign w:val="superscript"/>
          <w:lang w:val="en-GB"/>
        </w:rPr>
        <w:footnoteReference w:id="28"/>
      </w:r>
      <w:r w:rsidRPr="00BD71B7">
        <w:rPr>
          <w:rFonts w:ascii="Calibri" w:eastAsia="Calibri" w:hAnsi="Calibri" w:cs="Calibri"/>
          <w:sz w:val="22"/>
          <w:szCs w:val="22"/>
          <w:lang w:val="en-GB"/>
        </w:rPr>
        <w:t xml:space="preserve"> </w:t>
      </w:r>
    </w:p>
    <w:p w14:paraId="6461FA95" w14:textId="77777777" w:rsidR="00BD71B7" w:rsidRP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Lastly, to gain a better understanding of the multi-layered GPG issue and the conceptual theories that continue to be relevant in practice, it must be pointed out that the GPG can be quantified using two distinct methodologies: the first being the ‘unadjusted’ approach, and the second being the ‘adjusted’ approach.</w:t>
      </w:r>
      <w:r w:rsidRPr="00BD71B7">
        <w:rPr>
          <w:rFonts w:ascii="Calibri" w:eastAsia="Calibri" w:hAnsi="Calibri" w:cs="Calibri"/>
          <w:sz w:val="22"/>
          <w:szCs w:val="22"/>
          <w:vertAlign w:val="superscript"/>
          <w:lang w:val="en-GB"/>
        </w:rPr>
        <w:footnoteReference w:id="29"/>
      </w:r>
      <w:r w:rsidRPr="00BD71B7">
        <w:rPr>
          <w:rFonts w:ascii="Calibri" w:eastAsia="Calibri" w:hAnsi="Calibri" w:cs="Calibri"/>
          <w:sz w:val="22"/>
          <w:szCs w:val="22"/>
          <w:lang w:val="en-GB"/>
        </w:rPr>
        <w:t xml:space="preserve"> </w:t>
      </w:r>
    </w:p>
    <w:p w14:paraId="6A5162A6" w14:textId="77777777" w:rsidR="00F03FA2" w:rsidRDefault="00F03FA2" w:rsidP="00BD71B7">
      <w:pPr>
        <w:jc w:val="both"/>
        <w:rPr>
          <w:rFonts w:ascii="Calibri" w:eastAsia="Calibri" w:hAnsi="Calibri" w:cs="Calibri"/>
          <w:sz w:val="22"/>
          <w:szCs w:val="22"/>
          <w:lang w:val="en-GB"/>
        </w:rPr>
      </w:pPr>
    </w:p>
    <w:p w14:paraId="5F2EBBD9" w14:textId="41E19BBD" w:rsidR="00BD71B7" w:rsidRP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On the one hand, the GPG is processed as ‘</w:t>
      </w:r>
      <w:r w:rsidRPr="00BD71B7">
        <w:rPr>
          <w:rFonts w:ascii="Calibri" w:eastAsia="Calibri" w:hAnsi="Calibri" w:cs="Calibri"/>
          <w:b/>
          <w:sz w:val="22"/>
          <w:szCs w:val="22"/>
          <w:lang w:val="en-GB"/>
        </w:rPr>
        <w:t>unadjusted</w:t>
      </w:r>
      <w:r w:rsidRPr="00BD71B7">
        <w:rPr>
          <w:rFonts w:ascii="Calibri" w:eastAsia="Calibri" w:hAnsi="Calibri" w:cs="Calibri"/>
          <w:sz w:val="22"/>
          <w:szCs w:val="22"/>
          <w:lang w:val="en-GB"/>
        </w:rPr>
        <w:t>’ when it provides raw figures, disregarding factors that affect the female wage gap, such as labour market experience, educational differences, weekly hours worked, and the nature of the job.</w:t>
      </w:r>
      <w:r w:rsidRPr="00BD71B7">
        <w:rPr>
          <w:rFonts w:ascii="Calibri" w:eastAsia="Calibri" w:hAnsi="Calibri" w:cs="Calibri"/>
          <w:sz w:val="22"/>
          <w:szCs w:val="22"/>
          <w:vertAlign w:val="superscript"/>
          <w:lang w:val="en-GB"/>
        </w:rPr>
        <w:footnoteReference w:id="30"/>
      </w:r>
      <w:r w:rsidRPr="00BD71B7">
        <w:rPr>
          <w:rFonts w:ascii="Calibri" w:eastAsia="Calibri" w:hAnsi="Calibri" w:cs="Calibri"/>
          <w:sz w:val="22"/>
          <w:szCs w:val="22"/>
          <w:lang w:val="en-GB"/>
        </w:rPr>
        <w:t xml:space="preserve"> The European Union (EU) uses the Structure of Earnings Survey (SES) every four years to analyse the unadjusted pay gap.</w:t>
      </w:r>
      <w:r w:rsidRPr="00BD71B7">
        <w:rPr>
          <w:rFonts w:ascii="Calibri" w:eastAsia="Calibri" w:hAnsi="Calibri" w:cs="Calibri"/>
          <w:sz w:val="22"/>
          <w:szCs w:val="22"/>
          <w:vertAlign w:val="superscript"/>
          <w:lang w:val="en-GB"/>
        </w:rPr>
        <w:footnoteReference w:id="31"/>
      </w:r>
      <w:r w:rsidRPr="00BD71B7">
        <w:rPr>
          <w:rFonts w:ascii="Calibri" w:eastAsia="Calibri" w:hAnsi="Calibri" w:cs="Calibri"/>
          <w:sz w:val="22"/>
          <w:szCs w:val="22"/>
          <w:lang w:val="en-GB"/>
        </w:rPr>
        <w:t xml:space="preserve"> This survey collects data on wage levels, employee characteristics (such as gender, age, education level, occupation, and contract conditions), and employer information (such as economic activity and company size) in EU MS.</w:t>
      </w:r>
      <w:r w:rsidRPr="00BD71B7">
        <w:rPr>
          <w:rFonts w:ascii="Calibri" w:eastAsia="Calibri" w:hAnsi="Calibri" w:cs="Calibri"/>
          <w:sz w:val="22"/>
          <w:szCs w:val="22"/>
          <w:vertAlign w:val="superscript"/>
          <w:lang w:val="en-GB"/>
        </w:rPr>
        <w:footnoteReference w:id="32"/>
      </w:r>
      <w:r w:rsidR="00F03FA2">
        <w:rPr>
          <w:rFonts w:ascii="Calibri" w:eastAsia="Calibri" w:hAnsi="Calibri" w:cs="Calibri"/>
          <w:sz w:val="22"/>
          <w:szCs w:val="22"/>
          <w:lang w:val="en-GB"/>
        </w:rPr>
        <w:t xml:space="preserve"> </w:t>
      </w:r>
      <w:r w:rsidRPr="00BD71B7">
        <w:rPr>
          <w:rFonts w:ascii="Calibri" w:eastAsia="Calibri" w:hAnsi="Calibri" w:cs="Calibri"/>
          <w:sz w:val="22"/>
          <w:szCs w:val="22"/>
          <w:lang w:val="en-GB"/>
        </w:rPr>
        <w:t>On the other hand, the prevalent method for calculating the ‘</w:t>
      </w:r>
      <w:r w:rsidRPr="00BD71B7">
        <w:rPr>
          <w:rFonts w:ascii="Calibri" w:eastAsia="Calibri" w:hAnsi="Calibri" w:cs="Calibri"/>
          <w:b/>
          <w:sz w:val="22"/>
          <w:szCs w:val="22"/>
          <w:lang w:val="en-GB"/>
        </w:rPr>
        <w:t>adjusted</w:t>
      </w:r>
      <w:r w:rsidRPr="00BD71B7">
        <w:rPr>
          <w:rFonts w:ascii="Calibri" w:eastAsia="Calibri" w:hAnsi="Calibri" w:cs="Calibri"/>
          <w:sz w:val="22"/>
          <w:szCs w:val="22"/>
          <w:lang w:val="en-GB"/>
        </w:rPr>
        <w:t>’ GPG is the decomposition method devised by Blinder and Oaxaca in 1973.</w:t>
      </w:r>
      <w:r w:rsidRPr="00BD71B7">
        <w:rPr>
          <w:rFonts w:ascii="Calibri" w:eastAsia="Calibri" w:hAnsi="Calibri" w:cs="Calibri"/>
          <w:sz w:val="22"/>
          <w:szCs w:val="22"/>
          <w:vertAlign w:val="superscript"/>
          <w:lang w:val="en-GB"/>
        </w:rPr>
        <w:footnoteReference w:id="33"/>
      </w:r>
      <w:r w:rsidRPr="00BD71B7">
        <w:rPr>
          <w:rFonts w:ascii="Calibri" w:eastAsia="Calibri" w:hAnsi="Calibri" w:cs="Calibri"/>
          <w:sz w:val="22"/>
          <w:szCs w:val="22"/>
          <w:lang w:val="en-GB"/>
        </w:rPr>
        <w:t xml:space="preserve"> Regression analysis is used in this approach to explain pay based on the productive traits possessed by workers, allowing for the treatment of those features differently for male and female workers.</w:t>
      </w:r>
      <w:r w:rsidRPr="00BD71B7">
        <w:rPr>
          <w:rFonts w:ascii="Calibri" w:eastAsia="Calibri" w:hAnsi="Calibri" w:cs="Calibri"/>
          <w:sz w:val="22"/>
          <w:szCs w:val="22"/>
          <w:vertAlign w:val="superscript"/>
          <w:lang w:val="en-GB"/>
        </w:rPr>
        <w:footnoteReference w:id="34"/>
      </w:r>
    </w:p>
    <w:p w14:paraId="30D8EBA7" w14:textId="77777777" w:rsidR="00F03FA2" w:rsidRDefault="00F03FA2" w:rsidP="00BD71B7">
      <w:pPr>
        <w:jc w:val="both"/>
        <w:rPr>
          <w:rFonts w:ascii="Calibri" w:eastAsia="Calibri" w:hAnsi="Calibri" w:cs="Calibri"/>
          <w:sz w:val="22"/>
          <w:szCs w:val="22"/>
          <w:lang w:val="en-GB"/>
        </w:rPr>
      </w:pPr>
    </w:p>
    <w:p w14:paraId="1EE94D13" w14:textId="2D97BA75"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As an example, the unadjusted gender pay disparity among OECD nations is on average 12.1%, while in the EU is 10.8%.</w:t>
      </w:r>
      <w:r w:rsidRPr="00BD71B7">
        <w:rPr>
          <w:rFonts w:ascii="Calibri" w:eastAsia="Calibri" w:hAnsi="Calibri" w:cs="Calibri"/>
          <w:sz w:val="22"/>
          <w:szCs w:val="22"/>
          <w:vertAlign w:val="superscript"/>
          <w:lang w:val="en-GB"/>
        </w:rPr>
        <w:footnoteReference w:id="35"/>
      </w:r>
      <w:r w:rsidRPr="00BD71B7">
        <w:rPr>
          <w:rFonts w:ascii="Calibri" w:eastAsia="Calibri" w:hAnsi="Calibri" w:cs="Calibri"/>
          <w:sz w:val="22"/>
          <w:szCs w:val="22"/>
          <w:lang w:val="en-GB"/>
        </w:rPr>
        <w:t xml:space="preserve"> The disparity in this gap exhibits significant variation across different nations, with Belgium having the smallest difference of 1.2% and Korea having the largest gap of 31.2%.</w:t>
      </w:r>
      <w:r w:rsidRPr="00BD71B7">
        <w:rPr>
          <w:rFonts w:ascii="Calibri" w:eastAsia="Calibri" w:hAnsi="Calibri" w:cs="Calibri"/>
          <w:sz w:val="22"/>
          <w:szCs w:val="22"/>
          <w:vertAlign w:val="superscript"/>
          <w:lang w:val="en-GB"/>
        </w:rPr>
        <w:footnoteReference w:id="36"/>
      </w:r>
      <w:r w:rsidRPr="00BD71B7">
        <w:rPr>
          <w:rFonts w:ascii="Calibri" w:eastAsia="Calibri" w:hAnsi="Calibri" w:cs="Calibri"/>
          <w:sz w:val="22"/>
          <w:szCs w:val="22"/>
          <w:lang w:val="en-GB"/>
        </w:rPr>
        <w:t xml:space="preserve"> It must be underlined that both the OECD and the EU figures solely consider the unadjusted GPG. Nonetheless, the European Commission recognises that when assessing the pay gap, it is important to consider all other elements of remuneration, such as salaries as well as </w:t>
      </w:r>
      <w:r w:rsidRPr="00BD71B7">
        <w:rPr>
          <w:rFonts w:ascii="Calibri" w:eastAsia="Calibri" w:hAnsi="Calibri" w:cs="Calibri"/>
          <w:b/>
          <w:sz w:val="22"/>
          <w:szCs w:val="22"/>
          <w:lang w:val="en-GB"/>
        </w:rPr>
        <w:t>bonuses</w:t>
      </w:r>
      <w:r w:rsidRPr="00BD71B7">
        <w:rPr>
          <w:rFonts w:ascii="Calibri" w:eastAsia="Calibri" w:hAnsi="Calibri" w:cs="Calibri"/>
          <w:sz w:val="22"/>
          <w:szCs w:val="22"/>
          <w:lang w:val="en-GB"/>
        </w:rPr>
        <w:t>, and seasonal payments.</w:t>
      </w:r>
      <w:r w:rsidRPr="00BD71B7">
        <w:rPr>
          <w:rFonts w:ascii="Calibri" w:eastAsia="Calibri" w:hAnsi="Calibri" w:cs="Calibri"/>
          <w:sz w:val="22"/>
          <w:szCs w:val="22"/>
          <w:vertAlign w:val="superscript"/>
          <w:lang w:val="en-GB"/>
        </w:rPr>
        <w:footnoteReference w:id="37"/>
      </w:r>
      <w:r w:rsidRPr="00BD71B7">
        <w:rPr>
          <w:rFonts w:ascii="Calibri" w:eastAsia="Calibri" w:hAnsi="Calibri" w:cs="Calibri"/>
          <w:sz w:val="22"/>
          <w:szCs w:val="22"/>
          <w:lang w:val="en-GB"/>
        </w:rPr>
        <w:t xml:space="preserve"> </w:t>
      </w:r>
    </w:p>
    <w:p w14:paraId="4D78C7D9" w14:textId="77777777" w:rsidR="00F03FA2" w:rsidRPr="00BD71B7" w:rsidRDefault="00F03FA2" w:rsidP="00BD71B7">
      <w:pPr>
        <w:jc w:val="both"/>
        <w:rPr>
          <w:rFonts w:ascii="Calibri" w:eastAsia="Calibri" w:hAnsi="Calibri" w:cs="Calibri"/>
          <w:sz w:val="22"/>
          <w:szCs w:val="22"/>
          <w:lang w:val="en-GB"/>
        </w:rPr>
      </w:pPr>
    </w:p>
    <w:p w14:paraId="773E9230"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lastRenderedPageBreak/>
        <w:t xml:space="preserve">As observed in recent studies, </w:t>
      </w:r>
      <w:r w:rsidRPr="00BD71B7">
        <w:rPr>
          <w:rFonts w:ascii="Calibri" w:eastAsia="Calibri" w:hAnsi="Calibri" w:cs="Calibri"/>
          <w:b/>
          <w:sz w:val="22"/>
          <w:szCs w:val="22"/>
          <w:lang w:val="en-GB"/>
        </w:rPr>
        <w:t>gender differences in bonus payments</w:t>
      </w:r>
      <w:r w:rsidRPr="00BD71B7">
        <w:rPr>
          <w:rFonts w:ascii="Calibri" w:eastAsia="Calibri" w:hAnsi="Calibri" w:cs="Calibri"/>
          <w:sz w:val="22"/>
          <w:szCs w:val="22"/>
          <w:lang w:val="en-GB"/>
        </w:rPr>
        <w:t xml:space="preserve"> appear to be an important contributor to the GPG</w:t>
      </w:r>
      <w:r w:rsidRPr="00BD71B7">
        <w:rPr>
          <w:rFonts w:ascii="Calibri" w:eastAsia="Calibri" w:hAnsi="Calibri" w:cs="Calibri"/>
          <w:sz w:val="22"/>
          <w:szCs w:val="22"/>
          <w:vertAlign w:val="superscript"/>
          <w:lang w:val="en-GB"/>
        </w:rPr>
        <w:footnoteReference w:id="38"/>
      </w:r>
      <w:r w:rsidRPr="00BD71B7">
        <w:rPr>
          <w:rFonts w:ascii="Calibri" w:eastAsia="Calibri" w:hAnsi="Calibri" w:cs="Calibri"/>
          <w:sz w:val="22"/>
          <w:szCs w:val="22"/>
          <w:lang w:val="en-GB"/>
        </w:rPr>
        <w:t xml:space="preserve"> and – in line with the glass ceiling idea – specifically at the top level.</w:t>
      </w:r>
      <w:r w:rsidRPr="00BD71B7">
        <w:rPr>
          <w:rFonts w:ascii="Calibri" w:eastAsia="Calibri" w:hAnsi="Calibri" w:cs="Calibri"/>
          <w:sz w:val="22"/>
          <w:szCs w:val="22"/>
          <w:vertAlign w:val="superscript"/>
          <w:lang w:val="en-GB"/>
        </w:rPr>
        <w:footnoteReference w:id="39"/>
      </w:r>
      <w:r w:rsidRPr="00BD71B7">
        <w:rPr>
          <w:rFonts w:ascii="Calibri" w:eastAsia="Calibri" w:hAnsi="Calibri" w:cs="Calibri"/>
          <w:sz w:val="22"/>
          <w:szCs w:val="22"/>
          <w:lang w:val="en-GB"/>
        </w:rPr>
        <w:t xml:space="preserve"> Further to that, women are often segregated into roles or workplaces that do not offer such non-standard pay, or they are statistically discriminated against by being assigned tasks that do not qualify for such bonuses, or rewarded with lower bonuses when they do have access to incentive pay schemes.</w:t>
      </w:r>
      <w:r w:rsidRPr="00BD71B7">
        <w:rPr>
          <w:rFonts w:ascii="Calibri" w:eastAsia="Calibri" w:hAnsi="Calibri" w:cs="Calibri"/>
          <w:sz w:val="22"/>
          <w:szCs w:val="22"/>
          <w:vertAlign w:val="superscript"/>
          <w:lang w:val="en-GB"/>
        </w:rPr>
        <w:footnoteReference w:id="40"/>
      </w:r>
    </w:p>
    <w:p w14:paraId="1AA9D9BD" w14:textId="77777777" w:rsidR="00F03FA2" w:rsidRPr="00BD71B7" w:rsidRDefault="00F03FA2" w:rsidP="00BD71B7">
      <w:pPr>
        <w:jc w:val="both"/>
        <w:rPr>
          <w:rFonts w:ascii="Calibri" w:eastAsia="Calibri" w:hAnsi="Calibri" w:cs="Calibri"/>
          <w:sz w:val="22"/>
          <w:szCs w:val="22"/>
          <w:lang w:val="en-GB"/>
        </w:rPr>
      </w:pPr>
    </w:p>
    <w:p w14:paraId="367B35CC"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Undeniably, this argument links back to the definition that the GPG can be seen as a complex inequality that extends beyond the issue of pay discrimination, reflecting broader structural inequalities that affect women’s access to employment, career progression, and earnings. Consequently, both the EU and the South African Legislators have adopted a multifaceted approach to promoting fairness and equality in the workplace. As such, transparency measures and reporting obligations are central to these efforts.</w:t>
      </w:r>
      <w:r w:rsidRPr="00BD71B7">
        <w:rPr>
          <w:rFonts w:ascii="Calibri" w:eastAsia="Calibri" w:hAnsi="Calibri" w:cs="Calibri"/>
          <w:sz w:val="22"/>
          <w:szCs w:val="22"/>
          <w:vertAlign w:val="superscript"/>
          <w:lang w:val="en-GB"/>
        </w:rPr>
        <w:footnoteReference w:id="41"/>
      </w:r>
    </w:p>
    <w:p w14:paraId="19115CA2" w14:textId="77777777" w:rsidR="00F03FA2" w:rsidRPr="00BD71B7" w:rsidRDefault="00F03FA2" w:rsidP="00BD71B7">
      <w:pPr>
        <w:jc w:val="both"/>
        <w:rPr>
          <w:rFonts w:ascii="Calibri" w:eastAsia="Calibri" w:hAnsi="Calibri" w:cs="Calibri"/>
          <w:sz w:val="22"/>
          <w:szCs w:val="22"/>
          <w:lang w:val="en-GB"/>
        </w:rPr>
      </w:pPr>
    </w:p>
    <w:p w14:paraId="2FCB9E6A"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The following section outlines major milestones and initiatives that have shaped the development of equal pay policies in Europe and South Africa, highlighting the progressive advancement of pay transparency and fairness as key objectives that must be achieved.</w:t>
      </w:r>
    </w:p>
    <w:p w14:paraId="733D9DFF" w14:textId="77777777" w:rsidR="007F395E" w:rsidRPr="00BD71B7" w:rsidRDefault="007F395E" w:rsidP="00BD71B7">
      <w:pPr>
        <w:jc w:val="both"/>
        <w:rPr>
          <w:rFonts w:ascii="Calibri" w:eastAsia="Calibri" w:hAnsi="Calibri" w:cs="Calibri"/>
          <w:sz w:val="22"/>
          <w:szCs w:val="22"/>
          <w:lang w:val="en-GB"/>
        </w:rPr>
      </w:pPr>
    </w:p>
    <w:p w14:paraId="3189110A" w14:textId="77777777" w:rsidR="00BD71B7" w:rsidRPr="007F395E" w:rsidRDefault="00BD71B7" w:rsidP="00097F8D">
      <w:pPr>
        <w:pStyle w:val="Heading1"/>
      </w:pPr>
      <w:bookmarkStart w:id="6" w:name="_Toc211587525"/>
      <w:r w:rsidRPr="007F395E">
        <w:t>4.Key Milestones and Equal Pay Policy Initiatives in Europe</w:t>
      </w:r>
      <w:bookmarkEnd w:id="6"/>
    </w:p>
    <w:p w14:paraId="725F7FE0" w14:textId="77777777" w:rsidR="00BD71B7" w:rsidRDefault="00BD71B7" w:rsidP="00BD71B7">
      <w:pPr>
        <w:spacing w:before="240"/>
        <w:jc w:val="both"/>
        <w:rPr>
          <w:rFonts w:ascii="Calibri" w:eastAsia="Calibri" w:hAnsi="Calibri" w:cs="Calibri"/>
          <w:sz w:val="22"/>
          <w:szCs w:val="22"/>
          <w:lang w:val="en-GB"/>
        </w:rPr>
      </w:pPr>
      <w:r w:rsidRPr="00BD71B7">
        <w:rPr>
          <w:rFonts w:ascii="Calibri" w:eastAsia="Calibri" w:hAnsi="Calibri" w:cs="Calibri"/>
          <w:sz w:val="22"/>
          <w:szCs w:val="22"/>
          <w:lang w:val="en-GB"/>
        </w:rPr>
        <w:t>Women and men have the right to equal pay for equal work or work of equal value, a concept globally defined as ‘equal pay’.</w:t>
      </w:r>
      <w:r w:rsidRPr="00BD71B7">
        <w:rPr>
          <w:rFonts w:ascii="Calibri" w:eastAsia="Calibri" w:hAnsi="Calibri" w:cs="Calibri"/>
          <w:sz w:val="22"/>
          <w:szCs w:val="22"/>
          <w:vertAlign w:val="superscript"/>
          <w:lang w:val="en-GB"/>
        </w:rPr>
        <w:footnoteReference w:id="42"/>
      </w:r>
      <w:r w:rsidRPr="00BD71B7">
        <w:rPr>
          <w:rFonts w:ascii="Calibri" w:eastAsia="Calibri" w:hAnsi="Calibri" w:cs="Calibri"/>
          <w:sz w:val="22"/>
          <w:szCs w:val="22"/>
          <w:lang w:val="en-GB"/>
        </w:rPr>
        <w:t xml:space="preserve"> The foundation of EU gender equality legislation dates back to a pivotal provision, in 1957. The European Community's gender equality policy was established with ex-Article </w:t>
      </w:r>
      <w:r w:rsidRPr="00BD71B7">
        <w:rPr>
          <w:rFonts w:ascii="Calibri" w:eastAsia="Calibri" w:hAnsi="Calibri" w:cs="Calibri"/>
          <w:b/>
          <w:sz w:val="22"/>
          <w:szCs w:val="22"/>
          <w:lang w:val="en-GB"/>
        </w:rPr>
        <w:t>119 EEC</w:t>
      </w:r>
      <w:r w:rsidRPr="00BD71B7">
        <w:rPr>
          <w:rFonts w:ascii="Calibri" w:eastAsia="Calibri" w:hAnsi="Calibri" w:cs="Calibri"/>
          <w:sz w:val="22"/>
          <w:szCs w:val="22"/>
          <w:lang w:val="en-GB"/>
        </w:rPr>
        <w:t xml:space="preserve"> of the Treaty of </w:t>
      </w:r>
      <w:r w:rsidRPr="00BD71B7">
        <w:rPr>
          <w:rFonts w:ascii="Calibri" w:eastAsia="Calibri" w:hAnsi="Calibri" w:cs="Calibri"/>
          <w:sz w:val="22"/>
          <w:szCs w:val="22"/>
          <w:lang w:val="en-GB"/>
        </w:rPr>
        <w:lastRenderedPageBreak/>
        <w:t xml:space="preserve">Rome, now </w:t>
      </w:r>
      <w:r w:rsidRPr="00BD71B7">
        <w:rPr>
          <w:rFonts w:ascii="Calibri" w:eastAsia="Calibri" w:hAnsi="Calibri" w:cs="Calibri"/>
          <w:b/>
          <w:sz w:val="22"/>
          <w:szCs w:val="22"/>
          <w:lang w:val="en-GB"/>
        </w:rPr>
        <w:t>Article 157</w:t>
      </w:r>
      <w:r w:rsidRPr="00BD71B7">
        <w:rPr>
          <w:rFonts w:ascii="Calibri" w:eastAsia="Calibri" w:hAnsi="Calibri" w:cs="Calibri"/>
          <w:sz w:val="22"/>
          <w:szCs w:val="22"/>
          <w:lang w:val="en-GB"/>
        </w:rPr>
        <w:t xml:space="preserve"> of the Treaty on the Functioning of the European Union (</w:t>
      </w:r>
      <w:r w:rsidRPr="00BD71B7">
        <w:rPr>
          <w:rFonts w:ascii="Calibri" w:eastAsia="Calibri" w:hAnsi="Calibri" w:cs="Calibri"/>
          <w:b/>
          <w:sz w:val="22"/>
          <w:szCs w:val="22"/>
          <w:lang w:val="en-GB"/>
        </w:rPr>
        <w:t>TFEU</w:t>
      </w:r>
      <w:r w:rsidRPr="00BD71B7">
        <w:rPr>
          <w:rFonts w:ascii="Calibri" w:eastAsia="Calibri" w:hAnsi="Calibri" w:cs="Calibri"/>
          <w:sz w:val="22"/>
          <w:szCs w:val="22"/>
          <w:lang w:val="en-GB"/>
        </w:rPr>
        <w:t>).</w:t>
      </w:r>
      <w:r w:rsidRPr="00BD71B7">
        <w:rPr>
          <w:rFonts w:ascii="Calibri" w:eastAsia="Calibri" w:hAnsi="Calibri" w:cs="Calibri"/>
          <w:sz w:val="22"/>
          <w:szCs w:val="22"/>
          <w:vertAlign w:val="superscript"/>
          <w:lang w:val="en-GB"/>
        </w:rPr>
        <w:footnoteReference w:id="43"/>
      </w:r>
      <w:r w:rsidRPr="00BD71B7">
        <w:rPr>
          <w:rFonts w:ascii="Calibri" w:eastAsia="Calibri" w:hAnsi="Calibri" w:cs="Calibri"/>
          <w:sz w:val="22"/>
          <w:szCs w:val="22"/>
          <w:lang w:val="en-GB"/>
        </w:rPr>
        <w:t xml:space="preserve">  This provision establishes that each Member State (MS) must ensure equal pay for male and female workers performing equal work or work of equal value.</w:t>
      </w:r>
      <w:r w:rsidRPr="00BD71B7">
        <w:rPr>
          <w:rFonts w:ascii="Calibri" w:eastAsia="Calibri" w:hAnsi="Calibri" w:cs="Calibri"/>
          <w:sz w:val="22"/>
          <w:szCs w:val="22"/>
          <w:vertAlign w:val="superscript"/>
          <w:lang w:val="en-GB"/>
        </w:rPr>
        <w:footnoteReference w:id="44"/>
      </w:r>
      <w:r w:rsidRPr="00BD71B7">
        <w:rPr>
          <w:rFonts w:ascii="Calibri" w:eastAsia="Calibri" w:hAnsi="Calibri" w:cs="Calibri"/>
          <w:sz w:val="22"/>
          <w:szCs w:val="22"/>
          <w:lang w:val="en-GB"/>
        </w:rPr>
        <w:t xml:space="preserve"> However, at that time, many MS had not yet implemented the equal pay principle enshrined in the Treaties. As a result, in 1968 Gabrielle Defrenne, a female air hostess, filed a lawsuit against her organisation, the internal airline Sabena in Belgium.</w:t>
      </w:r>
      <w:r w:rsidRPr="00BD71B7">
        <w:rPr>
          <w:rFonts w:ascii="Calibri" w:eastAsia="Calibri" w:hAnsi="Calibri" w:cs="Calibri"/>
          <w:sz w:val="22"/>
          <w:szCs w:val="22"/>
          <w:vertAlign w:val="superscript"/>
          <w:lang w:val="en-GB"/>
        </w:rPr>
        <w:footnoteReference w:id="45"/>
      </w:r>
      <w:r w:rsidRPr="00BD71B7">
        <w:rPr>
          <w:rFonts w:ascii="Calibri" w:eastAsia="Calibri" w:hAnsi="Calibri" w:cs="Calibri"/>
          <w:sz w:val="22"/>
          <w:szCs w:val="22"/>
          <w:lang w:val="en-GB"/>
        </w:rPr>
        <w:t xml:space="preserve"> The Defrenne saga involved three trials before the CJEU on gender equality issues, with the most notable being </w:t>
      </w:r>
      <w:r w:rsidRPr="00BD71B7">
        <w:rPr>
          <w:rFonts w:ascii="Calibri" w:eastAsia="Calibri" w:hAnsi="Calibri" w:cs="Calibri"/>
          <w:b/>
          <w:sz w:val="22"/>
          <w:szCs w:val="22"/>
          <w:lang w:val="en-GB"/>
        </w:rPr>
        <w:t>Defrenne II</w:t>
      </w:r>
      <w:r w:rsidRPr="00BD71B7">
        <w:rPr>
          <w:rFonts w:ascii="Calibri" w:eastAsia="Calibri" w:hAnsi="Calibri" w:cs="Calibri"/>
          <w:sz w:val="22"/>
          <w:szCs w:val="22"/>
          <w:lang w:val="en-GB"/>
        </w:rPr>
        <w:t>. This case, addressing the equal pay principle</w:t>
      </w:r>
      <w:r w:rsidRPr="00BD71B7">
        <w:rPr>
          <w:rFonts w:ascii="Calibri" w:eastAsia="Calibri" w:hAnsi="Calibri" w:cs="Calibri"/>
          <w:sz w:val="22"/>
          <w:szCs w:val="22"/>
          <w:vertAlign w:val="superscript"/>
          <w:lang w:val="en-GB"/>
        </w:rPr>
        <w:footnoteReference w:id="46"/>
      </w:r>
      <w:r w:rsidRPr="00BD71B7">
        <w:rPr>
          <w:rFonts w:ascii="Calibri" w:eastAsia="Calibri" w:hAnsi="Calibri" w:cs="Calibri"/>
          <w:sz w:val="22"/>
          <w:szCs w:val="22"/>
          <w:lang w:val="en-GB"/>
        </w:rPr>
        <w:t xml:space="preserve"> was pivotal for the </w:t>
      </w:r>
      <w:r w:rsidRPr="00BD71B7">
        <w:rPr>
          <w:rFonts w:ascii="Calibri" w:eastAsia="Calibri" w:hAnsi="Calibri" w:cs="Calibri"/>
          <w:b/>
          <w:sz w:val="22"/>
          <w:szCs w:val="22"/>
          <w:lang w:val="en-GB"/>
        </w:rPr>
        <w:t>Court of European Justice</w:t>
      </w:r>
      <w:r w:rsidRPr="00BD71B7">
        <w:rPr>
          <w:rFonts w:ascii="Calibri" w:eastAsia="Calibri" w:hAnsi="Calibri" w:cs="Calibri"/>
          <w:sz w:val="22"/>
          <w:szCs w:val="22"/>
          <w:lang w:val="en-GB"/>
        </w:rPr>
        <w:t xml:space="preserve"> (CJEU) as it marked the Court's significant role in the development of social actions at the European level. The ruling established that provision </w:t>
      </w:r>
      <w:r w:rsidRPr="00BD71B7">
        <w:rPr>
          <w:rFonts w:ascii="Calibri" w:eastAsia="Calibri" w:hAnsi="Calibri" w:cs="Calibri"/>
          <w:b/>
          <w:sz w:val="22"/>
          <w:szCs w:val="22"/>
          <w:lang w:val="en-GB"/>
        </w:rPr>
        <w:t>157 TEFU is directly enforceable before National Courts</w:t>
      </w:r>
      <w:r w:rsidRPr="00BD71B7">
        <w:rPr>
          <w:rFonts w:ascii="Calibri" w:eastAsia="Calibri" w:hAnsi="Calibri" w:cs="Calibri"/>
          <w:sz w:val="22"/>
          <w:szCs w:val="22"/>
          <w:lang w:val="en-GB"/>
        </w:rPr>
        <w:t>.</w:t>
      </w:r>
      <w:r w:rsidRPr="00BD71B7">
        <w:rPr>
          <w:rFonts w:ascii="Calibri" w:eastAsia="Calibri" w:hAnsi="Calibri" w:cs="Calibri"/>
          <w:sz w:val="22"/>
          <w:szCs w:val="22"/>
          <w:vertAlign w:val="superscript"/>
          <w:lang w:val="en-GB"/>
        </w:rPr>
        <w:footnoteReference w:id="47"/>
      </w:r>
      <w:r w:rsidRPr="00BD71B7">
        <w:rPr>
          <w:rFonts w:ascii="Calibri" w:eastAsia="Calibri" w:hAnsi="Calibri" w:cs="Calibri"/>
          <w:sz w:val="22"/>
          <w:szCs w:val="22"/>
          <w:lang w:val="en-GB"/>
        </w:rPr>
        <w:t xml:space="preserve"> </w:t>
      </w:r>
    </w:p>
    <w:p w14:paraId="06D084C7" w14:textId="77777777" w:rsidR="00F03FA2" w:rsidRPr="00BD71B7" w:rsidRDefault="00F03FA2" w:rsidP="00BD71B7">
      <w:pPr>
        <w:spacing w:before="240"/>
        <w:jc w:val="both"/>
        <w:rPr>
          <w:rFonts w:ascii="Calibri" w:eastAsia="Calibri" w:hAnsi="Calibri" w:cs="Calibri"/>
          <w:sz w:val="22"/>
          <w:szCs w:val="22"/>
          <w:lang w:val="en-GB"/>
        </w:rPr>
      </w:pPr>
    </w:p>
    <w:p w14:paraId="54B9AD02"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 xml:space="preserve">Following these events, significantly pressured, European institutions started to develop and implement targeted measures, leading to various legal changes within the EU. The European Commission drafted the first pieces of </w:t>
      </w:r>
      <w:r w:rsidRPr="00BD71B7">
        <w:rPr>
          <w:rFonts w:ascii="Calibri" w:eastAsia="Calibri" w:hAnsi="Calibri" w:cs="Calibri"/>
          <w:b/>
          <w:sz w:val="22"/>
          <w:szCs w:val="22"/>
          <w:lang w:val="en-GB"/>
        </w:rPr>
        <w:t>secondary legislation</w:t>
      </w:r>
      <w:r w:rsidRPr="00BD71B7">
        <w:rPr>
          <w:rFonts w:ascii="Calibri" w:eastAsia="Calibri" w:hAnsi="Calibri" w:cs="Calibri"/>
          <w:sz w:val="22"/>
          <w:szCs w:val="22"/>
          <w:lang w:val="en-GB"/>
        </w:rPr>
        <w:t xml:space="preserve">, promoting several directives to enhance gender equality protection. Specifically, Directives 75/117/EEC, 76/207/EEC, 79/7/EEC, and 97/80/EC were issued and later consolidated by the </w:t>
      </w:r>
      <w:r w:rsidRPr="00BD71B7">
        <w:rPr>
          <w:rFonts w:ascii="Calibri" w:eastAsia="Calibri" w:hAnsi="Calibri" w:cs="Calibri"/>
          <w:b/>
          <w:sz w:val="22"/>
          <w:szCs w:val="22"/>
          <w:lang w:val="en-GB"/>
        </w:rPr>
        <w:t>Recast Directive</w:t>
      </w:r>
      <w:r w:rsidRPr="00BD71B7">
        <w:rPr>
          <w:rFonts w:ascii="Calibri" w:eastAsia="Calibri" w:hAnsi="Calibri" w:cs="Calibri"/>
          <w:sz w:val="22"/>
          <w:szCs w:val="22"/>
          <w:lang w:val="en-GB"/>
        </w:rPr>
        <w:t xml:space="preserve"> (2006/54/EC). This directive aimed to unify existing legislation and case law on sex equality in employment and occupation.</w:t>
      </w:r>
      <w:r w:rsidRPr="00BD71B7">
        <w:rPr>
          <w:rFonts w:ascii="Calibri" w:eastAsia="Calibri" w:hAnsi="Calibri" w:cs="Calibri"/>
          <w:sz w:val="22"/>
          <w:szCs w:val="22"/>
          <w:vertAlign w:val="superscript"/>
          <w:lang w:val="en-GB"/>
        </w:rPr>
        <w:footnoteReference w:id="48"/>
      </w:r>
      <w:r w:rsidRPr="00BD71B7">
        <w:rPr>
          <w:rFonts w:ascii="Calibri" w:eastAsia="Calibri" w:hAnsi="Calibri" w:cs="Calibri"/>
          <w:sz w:val="22"/>
          <w:szCs w:val="22"/>
          <w:lang w:val="en-GB"/>
        </w:rPr>
        <w:t xml:space="preserve"> Additionally, the </w:t>
      </w:r>
      <w:r w:rsidRPr="00BD71B7">
        <w:rPr>
          <w:rFonts w:ascii="Calibri" w:eastAsia="Calibri" w:hAnsi="Calibri" w:cs="Calibri"/>
          <w:b/>
          <w:sz w:val="22"/>
          <w:szCs w:val="22"/>
          <w:lang w:val="en-GB"/>
        </w:rPr>
        <w:t>Work-Life Balance Directive</w:t>
      </w:r>
      <w:r w:rsidRPr="00BD71B7">
        <w:rPr>
          <w:rFonts w:ascii="Calibri" w:eastAsia="Calibri" w:hAnsi="Calibri" w:cs="Calibri"/>
          <w:sz w:val="22"/>
          <w:szCs w:val="22"/>
          <w:lang w:val="en-GB"/>
        </w:rPr>
        <w:t xml:space="preserve"> (EU 2019/1158) was implemented to promote a more equal sharing of caregiving responsibilities</w:t>
      </w:r>
      <w:r w:rsidRPr="00BD71B7">
        <w:rPr>
          <w:rFonts w:ascii="Calibri" w:eastAsia="Calibri" w:hAnsi="Calibri" w:cs="Calibri"/>
          <w:sz w:val="22"/>
          <w:szCs w:val="22"/>
          <w:vertAlign w:val="superscript"/>
          <w:lang w:val="en-GB"/>
        </w:rPr>
        <w:t xml:space="preserve"> </w:t>
      </w:r>
      <w:r w:rsidRPr="00BD71B7">
        <w:rPr>
          <w:rFonts w:ascii="Calibri" w:eastAsia="Calibri" w:hAnsi="Calibri" w:cs="Calibri"/>
          <w:sz w:val="22"/>
          <w:szCs w:val="22"/>
          <w:vertAlign w:val="superscript"/>
          <w:lang w:val="en-GB"/>
        </w:rPr>
        <w:footnoteReference w:id="49"/>
      </w:r>
      <w:r w:rsidRPr="00BD71B7">
        <w:rPr>
          <w:rFonts w:ascii="Calibri" w:eastAsia="Calibri" w:hAnsi="Calibri" w:cs="Calibri"/>
          <w:sz w:val="22"/>
          <w:szCs w:val="22"/>
          <w:lang w:val="en-GB"/>
        </w:rPr>
        <w:t xml:space="preserve"> and the </w:t>
      </w:r>
      <w:r w:rsidRPr="00BD71B7">
        <w:rPr>
          <w:rFonts w:ascii="Calibri" w:eastAsia="Calibri" w:hAnsi="Calibri" w:cs="Calibri"/>
          <w:b/>
          <w:sz w:val="22"/>
          <w:szCs w:val="22"/>
          <w:lang w:val="en-GB"/>
        </w:rPr>
        <w:t>Women on Board Directive</w:t>
      </w:r>
      <w:r w:rsidRPr="00BD71B7">
        <w:rPr>
          <w:rFonts w:ascii="Calibri" w:eastAsia="Calibri" w:hAnsi="Calibri" w:cs="Calibri"/>
          <w:sz w:val="22"/>
          <w:szCs w:val="22"/>
          <w:lang w:val="en-GB"/>
        </w:rPr>
        <w:t xml:space="preserve"> was adopted to improve gender balance among directors of publicly listed companies.</w:t>
      </w:r>
      <w:r w:rsidRPr="00BD71B7">
        <w:rPr>
          <w:rFonts w:ascii="Calibri" w:eastAsia="Calibri" w:hAnsi="Calibri" w:cs="Calibri"/>
          <w:sz w:val="22"/>
          <w:szCs w:val="22"/>
          <w:vertAlign w:val="superscript"/>
          <w:lang w:val="en-GB"/>
        </w:rPr>
        <w:footnoteReference w:id="50"/>
      </w:r>
      <w:r w:rsidRPr="00BD71B7">
        <w:rPr>
          <w:rFonts w:ascii="Calibri" w:eastAsia="Calibri" w:hAnsi="Calibri" w:cs="Calibri"/>
          <w:sz w:val="22"/>
          <w:szCs w:val="22"/>
          <w:lang w:val="en-GB"/>
        </w:rPr>
        <w:t xml:space="preserve"> To further support the principle of equal pay for equal work, the </w:t>
      </w:r>
      <w:r w:rsidRPr="00BD71B7">
        <w:rPr>
          <w:rFonts w:ascii="Calibri" w:eastAsia="Calibri" w:hAnsi="Calibri" w:cs="Calibri"/>
          <w:b/>
          <w:sz w:val="22"/>
          <w:szCs w:val="22"/>
          <w:lang w:val="en-GB"/>
        </w:rPr>
        <w:t>Pay Transparency Directive</w:t>
      </w:r>
      <w:r w:rsidRPr="00BD71B7">
        <w:rPr>
          <w:rFonts w:ascii="Calibri" w:eastAsia="Calibri" w:hAnsi="Calibri" w:cs="Calibri"/>
          <w:sz w:val="22"/>
          <w:szCs w:val="22"/>
          <w:lang w:val="en-GB"/>
        </w:rPr>
        <w:t xml:space="preserve"> (EU 2023/970) was adopted in 2023 promoting reporting and transparency mechanisms to help close the GPG.</w:t>
      </w:r>
      <w:r w:rsidRPr="00BD71B7">
        <w:rPr>
          <w:rFonts w:ascii="Calibri" w:eastAsia="Calibri" w:hAnsi="Calibri" w:cs="Calibri"/>
          <w:sz w:val="22"/>
          <w:szCs w:val="22"/>
          <w:vertAlign w:val="superscript"/>
          <w:lang w:val="en-GB"/>
        </w:rPr>
        <w:footnoteReference w:id="51"/>
      </w:r>
      <w:r w:rsidRPr="00BD71B7">
        <w:rPr>
          <w:rFonts w:ascii="Calibri" w:eastAsia="Calibri" w:hAnsi="Calibri" w:cs="Calibri"/>
          <w:sz w:val="22"/>
          <w:szCs w:val="22"/>
          <w:lang w:val="en-GB"/>
        </w:rPr>
        <w:t xml:space="preserve"> </w:t>
      </w:r>
    </w:p>
    <w:p w14:paraId="31267C4B" w14:textId="77777777" w:rsidR="00F03FA2" w:rsidRPr="00BD71B7" w:rsidRDefault="00F03FA2" w:rsidP="00BD71B7">
      <w:pPr>
        <w:jc w:val="both"/>
        <w:rPr>
          <w:rFonts w:ascii="Calibri" w:eastAsia="Calibri" w:hAnsi="Calibri" w:cs="Calibri"/>
          <w:sz w:val="22"/>
          <w:szCs w:val="22"/>
          <w:lang w:val="en-GB"/>
        </w:rPr>
      </w:pPr>
    </w:p>
    <w:p w14:paraId="1298D220" w14:textId="001F0E6E"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lastRenderedPageBreak/>
        <w:t xml:space="preserve">The </w:t>
      </w:r>
      <w:r w:rsidRPr="00BD71B7">
        <w:rPr>
          <w:rFonts w:ascii="Calibri" w:eastAsia="Calibri" w:hAnsi="Calibri" w:cs="Calibri"/>
          <w:b/>
          <w:sz w:val="22"/>
          <w:szCs w:val="22"/>
          <w:lang w:val="en-GB"/>
        </w:rPr>
        <w:t>EU PTD</w:t>
      </w:r>
      <w:r w:rsidRPr="00BD71B7">
        <w:rPr>
          <w:rFonts w:ascii="Calibri" w:eastAsia="Calibri" w:hAnsi="Calibri" w:cs="Calibri"/>
          <w:sz w:val="22"/>
          <w:szCs w:val="22"/>
          <w:lang w:val="en-GB"/>
        </w:rPr>
        <w:t xml:space="preserve"> (Directive (EU) 2023/970) establishes a legally binding framework to strengthen the enforcement of the principle of equal pay for equal work or work of equal value across the EU.</w:t>
      </w:r>
      <w:r w:rsidRPr="00BD71B7">
        <w:rPr>
          <w:rFonts w:ascii="Calibri" w:eastAsia="Calibri" w:hAnsi="Calibri" w:cs="Calibri"/>
          <w:sz w:val="22"/>
          <w:szCs w:val="22"/>
          <w:vertAlign w:val="superscript"/>
          <w:lang w:val="en-GB"/>
        </w:rPr>
        <w:footnoteReference w:id="52"/>
      </w:r>
      <w:r w:rsidRPr="00BD71B7">
        <w:rPr>
          <w:rFonts w:ascii="Calibri" w:eastAsia="Calibri" w:hAnsi="Calibri" w:cs="Calibri"/>
          <w:sz w:val="22"/>
          <w:szCs w:val="22"/>
          <w:lang w:val="en-GB"/>
        </w:rPr>
        <w:t xml:space="preserve"> It addresses structural and systemic drivers of the gender pay gap, introducing a set of proactive transparency and reporting measures applicable to employers, and reinforces workers' rights to access information related to pay.</w:t>
      </w:r>
      <w:r w:rsidRPr="00BD71B7">
        <w:rPr>
          <w:rFonts w:ascii="Calibri" w:eastAsia="Calibri" w:hAnsi="Calibri" w:cs="Calibri"/>
          <w:sz w:val="22"/>
          <w:szCs w:val="22"/>
          <w:vertAlign w:val="superscript"/>
          <w:lang w:val="en-GB"/>
        </w:rPr>
        <w:footnoteReference w:id="53"/>
      </w:r>
      <w:r w:rsidR="00BD4F4B">
        <w:rPr>
          <w:rFonts w:ascii="Calibri" w:eastAsia="Calibri" w:hAnsi="Calibri" w:cs="Calibri"/>
          <w:sz w:val="22"/>
          <w:szCs w:val="22"/>
          <w:lang w:val="en-GB"/>
        </w:rPr>
        <w:t xml:space="preserve"> </w:t>
      </w:r>
      <w:r w:rsidRPr="00BD71B7">
        <w:rPr>
          <w:rFonts w:ascii="Calibri" w:eastAsia="Calibri" w:hAnsi="Calibri" w:cs="Calibri"/>
          <w:sz w:val="22"/>
          <w:szCs w:val="22"/>
          <w:lang w:val="en-GB"/>
        </w:rPr>
        <w:t>The Directive introduces mandatory pay transparency before employment</w:t>
      </w:r>
      <w:r w:rsidRPr="00BD71B7">
        <w:rPr>
          <w:rFonts w:ascii="Calibri" w:eastAsia="Calibri" w:hAnsi="Calibri" w:cs="Calibri"/>
          <w:sz w:val="22"/>
          <w:szCs w:val="22"/>
          <w:vertAlign w:val="superscript"/>
          <w:lang w:val="en-GB"/>
        </w:rPr>
        <w:footnoteReference w:id="54"/>
      </w:r>
      <w:r w:rsidRPr="00BD71B7">
        <w:rPr>
          <w:rFonts w:ascii="Calibri" w:eastAsia="Calibri" w:hAnsi="Calibri" w:cs="Calibri"/>
          <w:sz w:val="22"/>
          <w:szCs w:val="22"/>
          <w:lang w:val="en-GB"/>
        </w:rPr>
        <w:t>, strengthens the right to information for workers</w:t>
      </w:r>
      <w:r w:rsidRPr="00BD71B7">
        <w:rPr>
          <w:rFonts w:ascii="Calibri" w:eastAsia="Calibri" w:hAnsi="Calibri" w:cs="Calibri"/>
          <w:sz w:val="22"/>
          <w:szCs w:val="22"/>
          <w:vertAlign w:val="superscript"/>
          <w:lang w:val="en-GB"/>
        </w:rPr>
        <w:footnoteReference w:id="55"/>
      </w:r>
      <w:r w:rsidRPr="00BD71B7">
        <w:rPr>
          <w:rFonts w:ascii="Calibri" w:eastAsia="Calibri" w:hAnsi="Calibri" w:cs="Calibri"/>
          <w:sz w:val="22"/>
          <w:szCs w:val="22"/>
          <w:lang w:val="en-GB"/>
        </w:rPr>
        <w:t>, and imposes regular pay reporting obligations for organisations that vary according to the size of the business.</w:t>
      </w:r>
      <w:r w:rsidRPr="00BD71B7">
        <w:rPr>
          <w:rFonts w:ascii="Calibri" w:eastAsia="Calibri" w:hAnsi="Calibri" w:cs="Calibri"/>
          <w:sz w:val="22"/>
          <w:szCs w:val="22"/>
          <w:vertAlign w:val="superscript"/>
          <w:lang w:val="en-GB"/>
        </w:rPr>
        <w:footnoteReference w:id="56"/>
      </w:r>
      <w:r w:rsidRPr="00BD71B7">
        <w:rPr>
          <w:rFonts w:ascii="Calibri" w:eastAsia="Calibri" w:hAnsi="Calibri" w:cs="Calibri"/>
          <w:sz w:val="22"/>
          <w:szCs w:val="22"/>
          <w:lang w:val="en-GB"/>
        </w:rPr>
        <w:t xml:space="preserve"> It also includes requirements for joint pay assessments and pay audits where unjustified pay differences are identified</w:t>
      </w:r>
      <w:r w:rsidRPr="00BD71B7">
        <w:rPr>
          <w:rFonts w:ascii="Calibri" w:eastAsia="Calibri" w:hAnsi="Calibri" w:cs="Calibri"/>
          <w:sz w:val="22"/>
          <w:szCs w:val="22"/>
          <w:vertAlign w:val="superscript"/>
          <w:lang w:val="en-GB"/>
        </w:rPr>
        <w:footnoteReference w:id="57"/>
      </w:r>
      <w:r w:rsidRPr="00BD71B7">
        <w:rPr>
          <w:rFonts w:ascii="Calibri" w:eastAsia="Calibri" w:hAnsi="Calibri" w:cs="Calibri"/>
          <w:sz w:val="22"/>
          <w:szCs w:val="22"/>
          <w:lang w:val="en-GB"/>
        </w:rPr>
        <w:t>, and enhances legal remedies and enforcement mechanisms to ensure compliance.</w:t>
      </w:r>
      <w:r w:rsidRPr="00BD71B7">
        <w:rPr>
          <w:rFonts w:ascii="Calibri" w:eastAsia="Calibri" w:hAnsi="Calibri" w:cs="Calibri"/>
          <w:sz w:val="22"/>
          <w:szCs w:val="22"/>
          <w:vertAlign w:val="superscript"/>
          <w:lang w:val="en-GB"/>
        </w:rPr>
        <w:footnoteReference w:id="58"/>
      </w:r>
    </w:p>
    <w:p w14:paraId="03EBE45B" w14:textId="77777777" w:rsidR="00F03FA2" w:rsidRPr="00BD71B7" w:rsidRDefault="00F03FA2" w:rsidP="00BD71B7">
      <w:pPr>
        <w:jc w:val="both"/>
        <w:rPr>
          <w:rFonts w:ascii="Calibri" w:eastAsia="Calibri" w:hAnsi="Calibri" w:cs="Calibri"/>
          <w:sz w:val="22"/>
          <w:szCs w:val="22"/>
          <w:lang w:val="en-GB"/>
        </w:rPr>
      </w:pPr>
    </w:p>
    <w:p w14:paraId="0BC1BE04"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As such, it can be observed that the new directive has two main objectives. Firstly, it aims to enhance the legal framework by clarifying concepts and providing new tools to assist individuals in asserting their right to equal pay.</w:t>
      </w:r>
      <w:r w:rsidRPr="00BD71B7">
        <w:rPr>
          <w:rFonts w:ascii="Calibri" w:eastAsia="Calibri" w:hAnsi="Calibri" w:cs="Calibri"/>
          <w:sz w:val="22"/>
          <w:szCs w:val="22"/>
          <w:vertAlign w:val="superscript"/>
          <w:lang w:val="en-GB"/>
        </w:rPr>
        <w:footnoteReference w:id="59"/>
      </w:r>
      <w:r w:rsidRPr="00BD71B7">
        <w:rPr>
          <w:rFonts w:ascii="Calibri" w:eastAsia="Calibri" w:hAnsi="Calibri" w:cs="Calibri"/>
          <w:sz w:val="22"/>
          <w:szCs w:val="22"/>
          <w:lang w:val="en-GB"/>
        </w:rPr>
        <w:t xml:space="preserve"> Secondly, it addresses information asymmetries in workplace pay disputes by imposing proactive responsibilities on employers.</w:t>
      </w:r>
      <w:r w:rsidRPr="00BD71B7">
        <w:rPr>
          <w:rFonts w:ascii="Calibri" w:eastAsia="Calibri" w:hAnsi="Calibri" w:cs="Calibri"/>
          <w:sz w:val="22"/>
          <w:szCs w:val="22"/>
          <w:vertAlign w:val="superscript"/>
          <w:lang w:val="en-GB"/>
        </w:rPr>
        <w:footnoteReference w:id="60"/>
      </w:r>
    </w:p>
    <w:p w14:paraId="17911BF1" w14:textId="77777777" w:rsidR="00F03FA2" w:rsidRPr="00BD71B7" w:rsidRDefault="00F03FA2" w:rsidP="00BD71B7">
      <w:pPr>
        <w:jc w:val="both"/>
        <w:rPr>
          <w:rFonts w:ascii="Calibri" w:eastAsia="Calibri" w:hAnsi="Calibri" w:cs="Calibri"/>
          <w:sz w:val="22"/>
          <w:szCs w:val="22"/>
          <w:lang w:val="en-GB"/>
        </w:rPr>
      </w:pPr>
    </w:p>
    <w:p w14:paraId="22A34F42" w14:textId="77777777" w:rsidR="00BD71B7" w:rsidRDefault="00BD71B7" w:rsidP="00BD71B7">
      <w:pPr>
        <w:jc w:val="both"/>
        <w:rPr>
          <w:rFonts w:ascii="Calibri" w:eastAsia="Calibri" w:hAnsi="Calibri" w:cs="Calibri"/>
          <w:sz w:val="20"/>
          <w:szCs w:val="20"/>
          <w:lang w:val="en-GB"/>
        </w:rPr>
      </w:pPr>
      <w:r w:rsidRPr="00BD71B7">
        <w:rPr>
          <w:rFonts w:ascii="Calibri" w:eastAsia="Calibri" w:hAnsi="Calibri" w:cs="Calibri"/>
          <w:sz w:val="22"/>
          <w:szCs w:val="22"/>
          <w:lang w:val="en-GB"/>
        </w:rPr>
        <w:t xml:space="preserve">By imposing transparency in pay structures, establishing clear rights to pay information, and imposing penalties for non-compliance, the directive fosters an environment of accountability among employers. This comprehensive approach not only promotes fair pay practices but also empowers workers to challenge disparities. Consequently, these measures have the potential to support reducing the GPG, reinforcing the EU's commitment to gender equality in the workplace and creating a more equitable labour market for all. </w:t>
      </w:r>
      <w:r w:rsidRPr="00BD71B7">
        <w:rPr>
          <w:rFonts w:ascii="Calibri" w:eastAsia="Calibri" w:hAnsi="Calibri" w:cs="Calibri"/>
          <w:sz w:val="20"/>
          <w:szCs w:val="20"/>
          <w:lang w:val="en-GB"/>
        </w:rPr>
        <w:t>This approach is supported by positive evidence from countries where transparency measures have been implemented, compared to those without such tools. Public disclosure of pay levels can prompt companies to take corrective actions to avoid reputational damage and align with best practices in pay equity and fairness.</w:t>
      </w:r>
      <w:r w:rsidRPr="00BD71B7">
        <w:rPr>
          <w:rFonts w:ascii="Calibri" w:eastAsia="Calibri" w:hAnsi="Calibri" w:cs="Calibri"/>
          <w:sz w:val="20"/>
          <w:szCs w:val="20"/>
          <w:vertAlign w:val="superscript"/>
          <w:lang w:val="en-GB"/>
        </w:rPr>
        <w:footnoteReference w:id="61"/>
      </w:r>
      <w:r w:rsidRPr="00BD71B7">
        <w:rPr>
          <w:rFonts w:ascii="Calibri" w:eastAsia="Calibri" w:hAnsi="Calibri" w:cs="Calibri"/>
          <w:sz w:val="20"/>
          <w:szCs w:val="20"/>
          <w:lang w:val="en-GB"/>
        </w:rPr>
        <w:t xml:space="preserve"> Thus, pay transparency rules are informed by real-world challenges, outcomes and experiences.</w:t>
      </w:r>
    </w:p>
    <w:p w14:paraId="3E2E2919" w14:textId="77777777" w:rsidR="00F03FA2" w:rsidRPr="00BD71B7" w:rsidRDefault="00F03FA2" w:rsidP="00BD71B7">
      <w:pPr>
        <w:jc w:val="both"/>
        <w:rPr>
          <w:rFonts w:ascii="Calibri" w:eastAsia="Calibri" w:hAnsi="Calibri" w:cs="Calibri"/>
          <w:sz w:val="20"/>
          <w:szCs w:val="20"/>
          <w:lang w:val="en-GB"/>
        </w:rPr>
      </w:pPr>
    </w:p>
    <w:p w14:paraId="6E246C78"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lastRenderedPageBreak/>
        <w:t>The Directive forms part of the EU’s broader strategy 2020-2025 aimed at promoting gender equality in the labour market and to close the gender pay gap.</w:t>
      </w:r>
      <w:r w:rsidRPr="00BD71B7">
        <w:rPr>
          <w:rFonts w:ascii="Calibri" w:eastAsia="Calibri" w:hAnsi="Calibri" w:cs="Calibri"/>
          <w:sz w:val="22"/>
          <w:szCs w:val="22"/>
          <w:vertAlign w:val="superscript"/>
          <w:lang w:val="en-GB"/>
        </w:rPr>
        <w:footnoteReference w:id="62"/>
      </w:r>
      <w:r w:rsidRPr="00BD71B7">
        <w:rPr>
          <w:rFonts w:ascii="Calibri" w:eastAsia="Calibri" w:hAnsi="Calibri" w:cs="Calibri"/>
          <w:sz w:val="22"/>
          <w:szCs w:val="22"/>
          <w:lang w:val="en-GB"/>
        </w:rPr>
        <w:t xml:space="preserve"> MS are required to transpose the Directive into national law by </w:t>
      </w:r>
      <w:r w:rsidRPr="00BD71B7">
        <w:rPr>
          <w:rFonts w:ascii="Calibri" w:eastAsia="Calibri" w:hAnsi="Calibri" w:cs="Calibri"/>
          <w:b/>
          <w:sz w:val="22"/>
          <w:szCs w:val="22"/>
          <w:lang w:val="en-GB"/>
        </w:rPr>
        <w:t>7 June 2026</w:t>
      </w:r>
      <w:r w:rsidRPr="00BD71B7">
        <w:rPr>
          <w:rFonts w:ascii="Calibri" w:eastAsia="Calibri" w:hAnsi="Calibri" w:cs="Calibri"/>
          <w:sz w:val="22"/>
          <w:szCs w:val="22"/>
          <w:lang w:val="en-GB"/>
        </w:rPr>
        <w:t>.</w:t>
      </w:r>
    </w:p>
    <w:p w14:paraId="590B578D" w14:textId="77777777" w:rsidR="007F395E" w:rsidRPr="00BD71B7" w:rsidRDefault="007F395E" w:rsidP="00BD71B7">
      <w:pPr>
        <w:jc w:val="both"/>
        <w:rPr>
          <w:rFonts w:ascii="Calibri" w:eastAsia="Calibri" w:hAnsi="Calibri" w:cs="Calibri"/>
          <w:sz w:val="22"/>
          <w:szCs w:val="22"/>
          <w:lang w:val="en-GB"/>
        </w:rPr>
      </w:pPr>
    </w:p>
    <w:p w14:paraId="06621B1A" w14:textId="77777777" w:rsidR="00BD71B7" w:rsidRPr="007F395E" w:rsidRDefault="00BD71B7" w:rsidP="00097F8D">
      <w:pPr>
        <w:pStyle w:val="Heading1"/>
      </w:pPr>
      <w:bookmarkStart w:id="7" w:name="_Toc211587526"/>
      <w:r w:rsidRPr="007F395E">
        <w:t>4.1 Key Milestones and Equal Pay Policy Initiatives in South Africa</w:t>
      </w:r>
      <w:bookmarkEnd w:id="7"/>
    </w:p>
    <w:p w14:paraId="33FC9349" w14:textId="77777777" w:rsidR="007F395E" w:rsidRPr="00BD71B7" w:rsidRDefault="007F395E" w:rsidP="00BD71B7">
      <w:pPr>
        <w:jc w:val="both"/>
        <w:rPr>
          <w:rFonts w:ascii="Calibri" w:eastAsia="Calibri" w:hAnsi="Calibri" w:cs="Calibri"/>
          <w:b/>
          <w:color w:val="7731D8"/>
          <w:sz w:val="22"/>
          <w:szCs w:val="22"/>
          <w:lang w:val="en-GB"/>
        </w:rPr>
      </w:pPr>
    </w:p>
    <w:p w14:paraId="7CB6704F" w14:textId="77777777" w:rsidR="00BD71B7" w:rsidRP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Since the Platform for Action took place in 1995 (namely, the United Nations Fourth World Conference on Women in Beijing), South Africa, in line with other countries approaches, has actively addressed the need to empower women and rectify gender inequality, particularly in the workplace.</w:t>
      </w:r>
      <w:r w:rsidRPr="00BD71B7">
        <w:rPr>
          <w:rFonts w:ascii="Calibri" w:eastAsia="Calibri" w:hAnsi="Calibri" w:cs="Calibri"/>
          <w:sz w:val="22"/>
          <w:szCs w:val="22"/>
          <w:vertAlign w:val="superscript"/>
          <w:lang w:val="en-GB"/>
        </w:rPr>
        <w:footnoteReference w:id="63"/>
      </w:r>
      <w:r w:rsidRPr="00BD71B7">
        <w:rPr>
          <w:rFonts w:ascii="Calibri" w:eastAsia="Calibri" w:hAnsi="Calibri" w:cs="Calibri"/>
          <w:sz w:val="22"/>
          <w:szCs w:val="22"/>
          <w:lang w:val="en-GB"/>
        </w:rPr>
        <w:t xml:space="preserve"> Nevertheless, a number of initiatives and laws to support the integration of formerly marginalised groups – inclusive of women –  into the workforce were put in place after South Africa's democratic transition in 1994.</w:t>
      </w:r>
      <w:r w:rsidRPr="00BD71B7">
        <w:rPr>
          <w:rFonts w:ascii="Calibri" w:eastAsia="Calibri" w:hAnsi="Calibri" w:cs="Calibri"/>
          <w:sz w:val="22"/>
          <w:szCs w:val="22"/>
          <w:vertAlign w:val="superscript"/>
          <w:lang w:val="en-GB"/>
        </w:rPr>
        <w:footnoteReference w:id="64"/>
      </w:r>
      <w:r w:rsidRPr="00BD71B7">
        <w:rPr>
          <w:rFonts w:ascii="Calibri" w:eastAsia="Calibri" w:hAnsi="Calibri" w:cs="Calibri"/>
          <w:sz w:val="22"/>
          <w:szCs w:val="22"/>
          <w:lang w:val="en-GB"/>
        </w:rPr>
        <w:t xml:space="preserve">  </w:t>
      </w:r>
    </w:p>
    <w:p w14:paraId="7DFF8BEB"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 xml:space="preserve">In South Africa, the legal framework that has been developed for ensuring pay equity is comprehensive and multifaceted, designed to eliminate unfair discrimination and promote fair treatment in the workplace. The key legislative instruments include the </w:t>
      </w:r>
      <w:r w:rsidRPr="00BD71B7">
        <w:rPr>
          <w:rFonts w:ascii="Calibri" w:eastAsia="Calibri" w:hAnsi="Calibri" w:cs="Calibri"/>
          <w:b/>
          <w:sz w:val="22"/>
          <w:szCs w:val="22"/>
          <w:lang w:val="en-GB"/>
        </w:rPr>
        <w:t>Employment Equity Act</w:t>
      </w:r>
      <w:r w:rsidRPr="00BD71B7">
        <w:rPr>
          <w:rFonts w:ascii="Calibri" w:eastAsia="Calibri" w:hAnsi="Calibri" w:cs="Calibri"/>
          <w:sz w:val="22"/>
          <w:szCs w:val="22"/>
          <w:lang w:val="en-GB"/>
        </w:rPr>
        <w:t xml:space="preserve"> (EEA), the </w:t>
      </w:r>
      <w:r w:rsidRPr="00BD71B7">
        <w:rPr>
          <w:rFonts w:ascii="Calibri" w:eastAsia="Calibri" w:hAnsi="Calibri" w:cs="Calibri"/>
          <w:b/>
          <w:sz w:val="22"/>
          <w:szCs w:val="22"/>
          <w:lang w:val="en-GB"/>
        </w:rPr>
        <w:t xml:space="preserve">Basic Conditions of Employment Act </w:t>
      </w:r>
      <w:r w:rsidRPr="00BD71B7">
        <w:rPr>
          <w:rFonts w:ascii="Calibri" w:eastAsia="Calibri" w:hAnsi="Calibri" w:cs="Calibri"/>
          <w:sz w:val="22"/>
          <w:szCs w:val="22"/>
          <w:lang w:val="en-GB"/>
        </w:rPr>
        <w:t xml:space="preserve">(BCEA), the </w:t>
      </w:r>
      <w:r w:rsidRPr="00BD71B7">
        <w:rPr>
          <w:rFonts w:ascii="Calibri" w:eastAsia="Calibri" w:hAnsi="Calibri" w:cs="Calibri"/>
          <w:b/>
          <w:sz w:val="22"/>
          <w:szCs w:val="22"/>
          <w:lang w:val="en-GB"/>
        </w:rPr>
        <w:t>Labour Relations Act</w:t>
      </w:r>
      <w:r w:rsidRPr="00BD71B7">
        <w:rPr>
          <w:rFonts w:ascii="Calibri" w:eastAsia="Calibri" w:hAnsi="Calibri" w:cs="Calibri"/>
          <w:sz w:val="22"/>
          <w:szCs w:val="22"/>
          <w:lang w:val="en-GB"/>
        </w:rPr>
        <w:t xml:space="preserve"> (LRA) and the </w:t>
      </w:r>
      <w:r w:rsidRPr="00BD71B7">
        <w:rPr>
          <w:rFonts w:ascii="Calibri" w:eastAsia="Calibri" w:hAnsi="Calibri" w:cs="Calibri"/>
          <w:b/>
          <w:sz w:val="22"/>
          <w:szCs w:val="22"/>
          <w:lang w:val="en-GB"/>
        </w:rPr>
        <w:t>Promotion of Equality and Prevention of Unfair Discrimination Act</w:t>
      </w:r>
      <w:r w:rsidRPr="00BD71B7">
        <w:rPr>
          <w:rFonts w:ascii="Calibri" w:eastAsia="Calibri" w:hAnsi="Calibri" w:cs="Calibri"/>
          <w:sz w:val="22"/>
          <w:szCs w:val="22"/>
          <w:lang w:val="en-GB"/>
        </w:rPr>
        <w:t xml:space="preserve"> (PEPUDA) 4 of 2000 (also known as Equality Act).</w:t>
      </w:r>
    </w:p>
    <w:p w14:paraId="3EF9233D" w14:textId="77777777" w:rsidR="00F03FA2" w:rsidRPr="00BD71B7" w:rsidRDefault="00F03FA2" w:rsidP="00BD71B7">
      <w:pPr>
        <w:jc w:val="both"/>
        <w:rPr>
          <w:rFonts w:ascii="Calibri" w:eastAsia="Calibri" w:hAnsi="Calibri" w:cs="Calibri"/>
          <w:sz w:val="22"/>
          <w:szCs w:val="22"/>
          <w:lang w:val="en-GB"/>
        </w:rPr>
      </w:pPr>
    </w:p>
    <w:p w14:paraId="4FA7B4ED"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In response to the previous regime and the Apartheid laws that led to the legalisation of discrimination against non-white men and women</w:t>
      </w:r>
      <w:r w:rsidRPr="00BD71B7">
        <w:rPr>
          <w:rFonts w:ascii="Calibri" w:eastAsia="Calibri" w:hAnsi="Calibri" w:cs="Calibri"/>
          <w:sz w:val="22"/>
          <w:szCs w:val="22"/>
          <w:vertAlign w:val="superscript"/>
          <w:lang w:val="en-GB"/>
        </w:rPr>
        <w:footnoteReference w:id="65"/>
      </w:r>
      <w:r w:rsidRPr="00BD71B7">
        <w:rPr>
          <w:rFonts w:ascii="Calibri" w:eastAsia="Calibri" w:hAnsi="Calibri" w:cs="Calibri"/>
          <w:sz w:val="22"/>
          <w:szCs w:val="22"/>
          <w:lang w:val="en-GB"/>
        </w:rPr>
        <w:t xml:space="preserve">, the </w:t>
      </w:r>
      <w:r w:rsidRPr="00BD71B7">
        <w:rPr>
          <w:rFonts w:ascii="Calibri" w:eastAsia="Calibri" w:hAnsi="Calibri" w:cs="Calibri"/>
          <w:b/>
          <w:sz w:val="22"/>
          <w:szCs w:val="22"/>
          <w:lang w:val="en-GB"/>
        </w:rPr>
        <w:t>Employment Equity Act</w:t>
      </w:r>
      <w:r w:rsidRPr="00BD71B7">
        <w:rPr>
          <w:rFonts w:ascii="Calibri" w:eastAsia="Calibri" w:hAnsi="Calibri" w:cs="Calibri"/>
          <w:sz w:val="22"/>
          <w:szCs w:val="22"/>
          <w:lang w:val="en-GB"/>
        </w:rPr>
        <w:t xml:space="preserve"> (EEA) was implemented by the South African Parliament in 1998 to tackle workplace discrimination, including gender-based discrimination. Notably, the EEA did not specifically regulate income inequalities based on gender at the time of its completion, therefore the EEA has been modified to incorporate a distinct provision, section 6(4)-(5), which governs claims related to equal pay.</w:t>
      </w:r>
      <w:r w:rsidRPr="00BD71B7">
        <w:rPr>
          <w:rFonts w:ascii="Calibri" w:eastAsia="Calibri" w:hAnsi="Calibri" w:cs="Calibri"/>
          <w:sz w:val="22"/>
          <w:szCs w:val="22"/>
          <w:vertAlign w:val="superscript"/>
          <w:lang w:val="en-GB"/>
        </w:rPr>
        <w:footnoteReference w:id="66"/>
      </w:r>
      <w:r w:rsidRPr="00BD71B7">
        <w:rPr>
          <w:rFonts w:ascii="Calibri" w:eastAsia="Calibri" w:hAnsi="Calibri" w:cs="Calibri"/>
          <w:sz w:val="22"/>
          <w:szCs w:val="22"/>
          <w:lang w:val="en-GB"/>
        </w:rPr>
        <w:t xml:space="preserve"> Indeed, in the case of Louw v Golden Arrow Bus Services 12</w:t>
      </w:r>
      <w:r w:rsidRPr="00BD71B7">
        <w:rPr>
          <w:rFonts w:ascii="Calibri" w:eastAsia="Calibri" w:hAnsi="Calibri" w:cs="Calibri"/>
          <w:sz w:val="22"/>
          <w:szCs w:val="22"/>
          <w:vertAlign w:val="superscript"/>
          <w:lang w:val="en-GB"/>
        </w:rPr>
        <w:footnoteReference w:id="67"/>
      </w:r>
      <w:r w:rsidRPr="00BD71B7">
        <w:rPr>
          <w:rFonts w:ascii="Calibri" w:eastAsia="Calibri" w:hAnsi="Calibri" w:cs="Calibri"/>
          <w:sz w:val="22"/>
          <w:szCs w:val="22"/>
          <w:lang w:val="en-GB"/>
        </w:rPr>
        <w:t>, the Court remarked that the ideas of equal pay had not been officially established as legal standard. Nevertheless, the courts recognised the principle of equal compensation for equal work.</w:t>
      </w:r>
      <w:r w:rsidRPr="00BD71B7">
        <w:rPr>
          <w:rFonts w:ascii="Calibri" w:eastAsia="Calibri" w:hAnsi="Calibri" w:cs="Calibri"/>
          <w:sz w:val="22"/>
          <w:szCs w:val="22"/>
          <w:vertAlign w:val="superscript"/>
          <w:lang w:val="en-GB"/>
        </w:rPr>
        <w:footnoteReference w:id="68"/>
      </w:r>
    </w:p>
    <w:p w14:paraId="3536FB65" w14:textId="77777777" w:rsidR="00F03FA2" w:rsidRPr="00BD71B7" w:rsidRDefault="00F03FA2" w:rsidP="00BD71B7">
      <w:pPr>
        <w:jc w:val="both"/>
        <w:rPr>
          <w:rFonts w:ascii="Calibri" w:eastAsia="Calibri" w:hAnsi="Calibri" w:cs="Calibri"/>
          <w:sz w:val="22"/>
          <w:szCs w:val="22"/>
          <w:lang w:val="en-GB"/>
        </w:rPr>
      </w:pPr>
    </w:p>
    <w:p w14:paraId="6FD4B9FE"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lastRenderedPageBreak/>
        <w:t xml:space="preserve">As such, from 1994 onwards, significant labour laws have been introduced, implemented and revised accordingly in the South African system. These are the </w:t>
      </w:r>
      <w:r w:rsidRPr="00BD71B7">
        <w:rPr>
          <w:rFonts w:ascii="Calibri" w:eastAsia="Calibri" w:hAnsi="Calibri" w:cs="Calibri"/>
          <w:b/>
          <w:sz w:val="22"/>
          <w:szCs w:val="22"/>
          <w:lang w:val="en-GB"/>
        </w:rPr>
        <w:t xml:space="preserve">Labour Relations Act </w:t>
      </w:r>
      <w:r w:rsidRPr="00BD71B7">
        <w:rPr>
          <w:rFonts w:ascii="Calibri" w:eastAsia="Calibri" w:hAnsi="Calibri" w:cs="Calibri"/>
          <w:sz w:val="22"/>
          <w:szCs w:val="22"/>
          <w:lang w:val="en-GB"/>
        </w:rPr>
        <w:t xml:space="preserve">of 1995 (LRA, amended in 2015), the </w:t>
      </w:r>
      <w:r w:rsidRPr="00BD71B7">
        <w:rPr>
          <w:rFonts w:ascii="Calibri" w:eastAsia="Calibri" w:hAnsi="Calibri" w:cs="Calibri"/>
          <w:b/>
          <w:sz w:val="22"/>
          <w:szCs w:val="22"/>
          <w:lang w:val="en-GB"/>
        </w:rPr>
        <w:t>Basic Conditions of Employment Act</w:t>
      </w:r>
      <w:r w:rsidRPr="00BD71B7">
        <w:rPr>
          <w:rFonts w:ascii="Calibri" w:eastAsia="Calibri" w:hAnsi="Calibri" w:cs="Calibri"/>
          <w:sz w:val="22"/>
          <w:szCs w:val="22"/>
          <w:lang w:val="en-GB"/>
        </w:rPr>
        <w:t xml:space="preserve"> (BCEA 1997) and the </w:t>
      </w:r>
      <w:r w:rsidRPr="00BD71B7">
        <w:rPr>
          <w:rFonts w:ascii="Calibri" w:eastAsia="Calibri" w:hAnsi="Calibri" w:cs="Calibri"/>
          <w:b/>
          <w:sz w:val="22"/>
          <w:szCs w:val="22"/>
          <w:lang w:val="en-GB"/>
        </w:rPr>
        <w:t>Skill Development Act</w:t>
      </w:r>
      <w:r w:rsidRPr="00BD71B7">
        <w:rPr>
          <w:rFonts w:ascii="Calibri" w:eastAsia="Calibri" w:hAnsi="Calibri" w:cs="Calibri"/>
          <w:sz w:val="22"/>
          <w:szCs w:val="22"/>
          <w:lang w:val="en-GB"/>
        </w:rPr>
        <w:t xml:space="preserve"> (1998).</w:t>
      </w:r>
      <w:r w:rsidRPr="00BD71B7">
        <w:rPr>
          <w:rFonts w:ascii="Calibri" w:eastAsia="Calibri" w:hAnsi="Calibri" w:cs="Calibri"/>
          <w:sz w:val="22"/>
          <w:szCs w:val="22"/>
          <w:vertAlign w:val="superscript"/>
          <w:lang w:val="en-GB"/>
        </w:rPr>
        <w:footnoteReference w:id="69"/>
      </w:r>
    </w:p>
    <w:p w14:paraId="67A0EBAD" w14:textId="77777777" w:rsidR="00F03FA2" w:rsidRPr="00BD71B7" w:rsidRDefault="00F03FA2" w:rsidP="00BD71B7">
      <w:pPr>
        <w:jc w:val="both"/>
        <w:rPr>
          <w:rFonts w:ascii="Calibri" w:eastAsia="Calibri" w:hAnsi="Calibri" w:cs="Calibri"/>
          <w:sz w:val="22"/>
          <w:szCs w:val="22"/>
          <w:lang w:val="en-GB"/>
        </w:rPr>
      </w:pPr>
    </w:p>
    <w:p w14:paraId="4EF03391" w14:textId="77777777" w:rsidR="00BD71B7" w:rsidRP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The LRA establishes the framework for collective bargaining, dispute resolution, and the rights and duties of employers and employees in South Africa.</w:t>
      </w:r>
      <w:r w:rsidRPr="00BD71B7">
        <w:rPr>
          <w:rFonts w:ascii="Calibri" w:eastAsia="Calibri" w:hAnsi="Calibri" w:cs="Calibri"/>
          <w:sz w:val="22"/>
          <w:szCs w:val="22"/>
          <w:vertAlign w:val="superscript"/>
          <w:lang w:val="en-GB"/>
        </w:rPr>
        <w:footnoteReference w:id="70"/>
      </w:r>
      <w:r w:rsidRPr="00BD71B7">
        <w:rPr>
          <w:rFonts w:ascii="Calibri" w:eastAsia="Calibri" w:hAnsi="Calibri" w:cs="Calibri"/>
          <w:sz w:val="22"/>
          <w:szCs w:val="22"/>
          <w:lang w:val="en-GB"/>
        </w:rPr>
        <w:t xml:space="preserve"> The amendments made in 2015 include strengthened protections against unfair labour practices and enhanced enforcement mechanisms.</w:t>
      </w:r>
      <w:r w:rsidRPr="00BD71B7">
        <w:rPr>
          <w:rFonts w:ascii="Calibri" w:eastAsia="Calibri" w:hAnsi="Calibri" w:cs="Calibri"/>
          <w:sz w:val="22"/>
          <w:szCs w:val="22"/>
          <w:vertAlign w:val="superscript"/>
          <w:lang w:val="en-GB"/>
        </w:rPr>
        <w:footnoteReference w:id="71"/>
      </w:r>
      <w:r w:rsidRPr="00BD71B7">
        <w:rPr>
          <w:rFonts w:ascii="Calibri" w:eastAsia="Calibri" w:hAnsi="Calibri" w:cs="Calibri"/>
          <w:sz w:val="22"/>
          <w:szCs w:val="22"/>
          <w:lang w:val="en-GB"/>
        </w:rPr>
        <w:t xml:space="preserve"> The Skills Development Act aims to develop the skills of the South African workforce through several initiatives provided by both employers and the State.</w:t>
      </w:r>
      <w:r w:rsidRPr="00BD71B7">
        <w:rPr>
          <w:rFonts w:ascii="Calibri" w:eastAsia="Calibri" w:hAnsi="Calibri" w:cs="Calibri"/>
          <w:sz w:val="22"/>
          <w:szCs w:val="22"/>
          <w:vertAlign w:val="superscript"/>
          <w:lang w:val="en-GB"/>
        </w:rPr>
        <w:footnoteReference w:id="72"/>
      </w:r>
      <w:r w:rsidRPr="00BD71B7">
        <w:rPr>
          <w:rFonts w:ascii="Calibri" w:eastAsia="Calibri" w:hAnsi="Calibri" w:cs="Calibri"/>
          <w:sz w:val="22"/>
          <w:szCs w:val="22"/>
          <w:lang w:val="en-GB"/>
        </w:rPr>
        <w:t xml:space="preserve"> The BCEA sets minimum standards for employment conditions, including working hours, leave entitlements, and remuneration. While not explicitly focused on pay equity, it supports fair labour practices and the general principle of equal pay.</w:t>
      </w:r>
      <w:r w:rsidRPr="00BD71B7">
        <w:rPr>
          <w:rFonts w:ascii="Calibri" w:eastAsia="Calibri" w:hAnsi="Calibri" w:cs="Calibri"/>
          <w:sz w:val="22"/>
          <w:szCs w:val="22"/>
          <w:vertAlign w:val="superscript"/>
          <w:lang w:val="en-GB"/>
        </w:rPr>
        <w:footnoteReference w:id="73"/>
      </w:r>
      <w:r w:rsidRPr="00BD71B7">
        <w:rPr>
          <w:rFonts w:ascii="Calibri" w:eastAsia="Calibri" w:hAnsi="Calibri" w:cs="Calibri"/>
          <w:sz w:val="22"/>
          <w:szCs w:val="22"/>
          <w:lang w:val="en-GB"/>
        </w:rPr>
        <w:t xml:space="preserve"> Similarly, the abovementioned PEPUDA Act prohibits unfair discrimination based on gender, among other grounds, and promotes equality in all spheres of life.</w:t>
      </w:r>
      <w:r w:rsidRPr="00BD71B7">
        <w:rPr>
          <w:rFonts w:ascii="Calibri" w:eastAsia="Calibri" w:hAnsi="Calibri" w:cs="Calibri"/>
          <w:sz w:val="22"/>
          <w:szCs w:val="22"/>
          <w:vertAlign w:val="superscript"/>
          <w:lang w:val="en-GB"/>
        </w:rPr>
        <w:footnoteReference w:id="74"/>
      </w:r>
    </w:p>
    <w:p w14:paraId="6FF729E6"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It must be pointed out that in the case of Mangena and Others v Fila South Africa (Pty) Ltd and Others the Court acknowledged the lack of the required knowledge and skills in assessing jobs and determining the worth of certain vocations when it comes to the concept of equal pay for work of equal value.</w:t>
      </w:r>
      <w:r w:rsidRPr="00BD71B7">
        <w:rPr>
          <w:rFonts w:ascii="Calibri" w:eastAsia="Calibri" w:hAnsi="Calibri" w:cs="Calibri"/>
          <w:sz w:val="22"/>
          <w:szCs w:val="22"/>
          <w:vertAlign w:val="superscript"/>
          <w:lang w:val="en-GB"/>
        </w:rPr>
        <w:footnoteReference w:id="75"/>
      </w:r>
      <w:r w:rsidRPr="00BD71B7">
        <w:rPr>
          <w:rFonts w:ascii="Calibri" w:eastAsia="Calibri" w:hAnsi="Calibri" w:cs="Calibri"/>
          <w:sz w:val="22"/>
          <w:szCs w:val="22"/>
          <w:lang w:val="en-GB"/>
        </w:rPr>
        <w:t xml:space="preserve"> Therefore, the Minister of Labour was appointed to draft and establish specific guidelines identifying the necessary criteria for assessing what constitutes work of equal value and on the application of the Equal Pay principle in the workplace.</w:t>
      </w:r>
      <w:r w:rsidRPr="00BD71B7">
        <w:rPr>
          <w:rFonts w:ascii="Calibri" w:eastAsia="Calibri" w:hAnsi="Calibri" w:cs="Calibri"/>
          <w:sz w:val="22"/>
          <w:szCs w:val="22"/>
          <w:vertAlign w:val="superscript"/>
          <w:lang w:val="en-GB"/>
        </w:rPr>
        <w:footnoteReference w:id="76"/>
      </w:r>
      <w:r w:rsidRPr="00BD71B7">
        <w:rPr>
          <w:rFonts w:ascii="Calibri" w:eastAsia="Calibri" w:hAnsi="Calibri" w:cs="Calibri"/>
          <w:sz w:val="22"/>
          <w:szCs w:val="22"/>
          <w:lang w:val="en-GB"/>
        </w:rPr>
        <w:t xml:space="preserve"> These guidelines are known as the </w:t>
      </w:r>
      <w:r w:rsidRPr="00BD71B7">
        <w:rPr>
          <w:rFonts w:ascii="Calibri" w:eastAsia="Calibri" w:hAnsi="Calibri" w:cs="Calibri"/>
          <w:b/>
          <w:sz w:val="22"/>
          <w:szCs w:val="22"/>
          <w:lang w:val="en-GB"/>
        </w:rPr>
        <w:t>Employment Equity Regulations of 2014</w:t>
      </w:r>
      <w:r w:rsidRPr="00BD71B7">
        <w:rPr>
          <w:rFonts w:ascii="Calibri" w:eastAsia="Calibri" w:hAnsi="Calibri" w:cs="Calibri"/>
          <w:sz w:val="22"/>
          <w:szCs w:val="22"/>
          <w:lang w:val="en-GB"/>
        </w:rPr>
        <w:t xml:space="preserve"> and the </w:t>
      </w:r>
      <w:r w:rsidRPr="00BD71B7">
        <w:rPr>
          <w:rFonts w:ascii="Calibri" w:eastAsia="Calibri" w:hAnsi="Calibri" w:cs="Calibri"/>
          <w:b/>
          <w:sz w:val="22"/>
          <w:szCs w:val="22"/>
          <w:lang w:val="en-GB"/>
        </w:rPr>
        <w:t>Code of Good Practice on Equal Pay/Remuneration for Work of Equal Value (Equal Pay Code) of 2015</w:t>
      </w:r>
      <w:r w:rsidRPr="00BD71B7">
        <w:rPr>
          <w:rFonts w:ascii="Calibri" w:eastAsia="Calibri" w:hAnsi="Calibri" w:cs="Calibri"/>
          <w:sz w:val="22"/>
          <w:szCs w:val="22"/>
          <w:lang w:val="en-GB"/>
        </w:rPr>
        <w:t xml:space="preserve">. Both are linked to the amendments made to the EEA. </w:t>
      </w:r>
    </w:p>
    <w:p w14:paraId="7B9C0EF0" w14:textId="77777777" w:rsidR="007F395E" w:rsidRPr="00BD71B7" w:rsidRDefault="007F395E" w:rsidP="00BD71B7">
      <w:pPr>
        <w:jc w:val="both"/>
        <w:rPr>
          <w:rFonts w:ascii="Calibri" w:eastAsia="Calibri" w:hAnsi="Calibri" w:cs="Calibri"/>
          <w:sz w:val="22"/>
          <w:szCs w:val="22"/>
          <w:lang w:val="en-GB"/>
        </w:rPr>
      </w:pPr>
    </w:p>
    <w:p w14:paraId="780F4FCB"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Particularly, the Equal Pay Code provides guidelines for implementing equal pay for work of equal value, such as encouraging employers to use objective criteria when determining work of equal value and to conduct regular pay audits to promptly identify and address pay disparities.</w:t>
      </w:r>
      <w:r w:rsidRPr="00BD71B7">
        <w:rPr>
          <w:rFonts w:ascii="Calibri" w:eastAsia="Calibri" w:hAnsi="Calibri" w:cs="Calibri"/>
          <w:sz w:val="22"/>
          <w:szCs w:val="22"/>
          <w:vertAlign w:val="superscript"/>
          <w:lang w:val="en-GB"/>
        </w:rPr>
        <w:footnoteReference w:id="77"/>
      </w:r>
      <w:r w:rsidRPr="00BD71B7">
        <w:rPr>
          <w:rFonts w:ascii="Calibri" w:eastAsia="Calibri" w:hAnsi="Calibri" w:cs="Calibri"/>
          <w:sz w:val="22"/>
          <w:szCs w:val="22"/>
          <w:lang w:val="en-GB"/>
        </w:rPr>
        <w:t xml:space="preserve"> </w:t>
      </w:r>
    </w:p>
    <w:p w14:paraId="35983107" w14:textId="77777777" w:rsidR="007F395E" w:rsidRPr="00BD71B7" w:rsidRDefault="007F395E" w:rsidP="00BD71B7">
      <w:pPr>
        <w:jc w:val="both"/>
        <w:rPr>
          <w:rFonts w:ascii="Calibri" w:eastAsia="Calibri" w:hAnsi="Calibri" w:cs="Calibri"/>
          <w:sz w:val="22"/>
          <w:szCs w:val="22"/>
          <w:lang w:val="en-GB"/>
        </w:rPr>
      </w:pPr>
    </w:p>
    <w:p w14:paraId="7E750685"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 xml:space="preserve">The amendments to the original EEA, especially those made to </w:t>
      </w:r>
      <w:r w:rsidRPr="00BD71B7">
        <w:rPr>
          <w:rFonts w:ascii="Calibri" w:eastAsia="Calibri" w:hAnsi="Calibri" w:cs="Calibri"/>
          <w:b/>
          <w:sz w:val="22"/>
          <w:szCs w:val="22"/>
          <w:lang w:val="en-GB"/>
        </w:rPr>
        <w:t>section 27</w:t>
      </w:r>
      <w:r w:rsidRPr="00BD71B7">
        <w:rPr>
          <w:rFonts w:ascii="Calibri" w:eastAsia="Calibri" w:hAnsi="Calibri" w:cs="Calibri"/>
          <w:sz w:val="22"/>
          <w:szCs w:val="22"/>
          <w:lang w:val="en-GB"/>
        </w:rPr>
        <w:t xml:space="preserve"> through the Employment Equity Regulations of 2014, are particularly relevant. The new provisions of Section 27 requires employers with 50 or more employees, and smaller firms exceeding a specific annual income threshold, to report on the representation and income differentials within their organisations.</w:t>
      </w:r>
      <w:r w:rsidRPr="00BD71B7">
        <w:rPr>
          <w:rFonts w:ascii="Calibri" w:eastAsia="Calibri" w:hAnsi="Calibri" w:cs="Calibri"/>
          <w:sz w:val="22"/>
          <w:szCs w:val="22"/>
          <w:vertAlign w:val="superscript"/>
          <w:lang w:val="en-GB"/>
        </w:rPr>
        <w:footnoteReference w:id="78"/>
      </w:r>
      <w:r w:rsidRPr="00BD71B7">
        <w:rPr>
          <w:rFonts w:ascii="Calibri" w:eastAsia="Calibri" w:hAnsi="Calibri" w:cs="Calibri"/>
          <w:sz w:val="22"/>
          <w:szCs w:val="22"/>
          <w:lang w:val="en-GB"/>
        </w:rPr>
        <w:t xml:space="preserve"> Additionally, if these differentials are found to be disproportionate, as determined by the </w:t>
      </w:r>
      <w:r w:rsidRPr="0055530E">
        <w:rPr>
          <w:rFonts w:ascii="Calibri" w:eastAsia="Calibri" w:hAnsi="Calibri" w:cs="Calibri"/>
          <w:b/>
          <w:bCs/>
          <w:sz w:val="22"/>
          <w:szCs w:val="22"/>
          <w:lang w:val="en-GB"/>
        </w:rPr>
        <w:t>Employment Conditions Commission</w:t>
      </w:r>
      <w:r w:rsidRPr="00BD71B7">
        <w:rPr>
          <w:rFonts w:ascii="Calibri" w:eastAsia="Calibri" w:hAnsi="Calibri" w:cs="Calibri"/>
          <w:sz w:val="22"/>
          <w:szCs w:val="22"/>
          <w:lang w:val="en-GB"/>
        </w:rPr>
        <w:t xml:space="preserve"> (ECC), companies </w:t>
      </w:r>
      <w:r w:rsidRPr="00BD71B7">
        <w:rPr>
          <w:rFonts w:ascii="Calibri" w:eastAsia="Calibri" w:hAnsi="Calibri" w:cs="Calibri"/>
          <w:sz w:val="22"/>
          <w:szCs w:val="22"/>
          <w:lang w:val="en-GB"/>
        </w:rPr>
        <w:lastRenderedPageBreak/>
        <w:t>must take remedial action to progressively reduce pay inequality.</w:t>
      </w:r>
      <w:r w:rsidRPr="00BD71B7">
        <w:rPr>
          <w:rFonts w:ascii="Calibri" w:eastAsia="Calibri" w:hAnsi="Calibri" w:cs="Calibri"/>
          <w:sz w:val="22"/>
          <w:szCs w:val="22"/>
          <w:vertAlign w:val="superscript"/>
          <w:lang w:val="en-GB"/>
        </w:rPr>
        <w:footnoteReference w:id="79"/>
      </w:r>
      <w:r w:rsidRPr="00BD71B7">
        <w:rPr>
          <w:rFonts w:ascii="Calibri" w:eastAsia="Calibri" w:hAnsi="Calibri" w:cs="Calibri"/>
          <w:sz w:val="22"/>
          <w:szCs w:val="22"/>
          <w:lang w:val="en-GB"/>
        </w:rPr>
        <w:t xml:space="preserve"> Furthermore, employers must submit annual reports on employment equity progress. As observed by Espi, Francis and Valodia, although the Act establishes reporting obligations on income differentials and workforce profiles, it remains unclear how effective these measures have been in driving change, aside from potentially raising awareness and urging firms to address these disparities.</w:t>
      </w:r>
      <w:r w:rsidRPr="00BD71B7">
        <w:rPr>
          <w:rFonts w:ascii="Calibri" w:eastAsia="Calibri" w:hAnsi="Calibri" w:cs="Calibri"/>
          <w:sz w:val="22"/>
          <w:szCs w:val="22"/>
          <w:vertAlign w:val="superscript"/>
          <w:lang w:val="en-GB"/>
        </w:rPr>
        <w:footnoteReference w:id="80"/>
      </w:r>
      <w:r w:rsidRPr="00BD71B7">
        <w:rPr>
          <w:rFonts w:ascii="Calibri" w:eastAsia="Calibri" w:hAnsi="Calibri" w:cs="Calibri"/>
          <w:sz w:val="22"/>
          <w:szCs w:val="22"/>
          <w:lang w:val="en-GB"/>
        </w:rPr>
        <w:t xml:space="preserve"> It is worth mentioning that recent years have seen an increase in compliance with the reporting requirements set out in the EEA. </w:t>
      </w:r>
    </w:p>
    <w:p w14:paraId="63C2F7EC" w14:textId="77777777" w:rsidR="007F395E" w:rsidRPr="00BD71B7" w:rsidRDefault="007F395E" w:rsidP="00BD71B7">
      <w:pPr>
        <w:jc w:val="both"/>
        <w:rPr>
          <w:rFonts w:ascii="Calibri" w:eastAsia="Calibri" w:hAnsi="Calibri" w:cs="Calibri"/>
          <w:sz w:val="22"/>
          <w:szCs w:val="22"/>
          <w:lang w:val="en-GB"/>
        </w:rPr>
      </w:pPr>
    </w:p>
    <w:p w14:paraId="6A880C2F"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It can be argued that South African legislation aims to enhance pay equity by increasing transparency and accountability among employers. As such, both South Africa’s legislation and the EU's Pay Transparency Directive appear to share the common goal of advancing fairness in pay through enhancement of transparency and reporting obligations, albeit within different regulatory frameworks.</w:t>
      </w:r>
    </w:p>
    <w:p w14:paraId="1FE76800" w14:textId="77777777" w:rsidR="0055530E" w:rsidRPr="00BD71B7" w:rsidRDefault="0055530E" w:rsidP="00BD71B7">
      <w:pPr>
        <w:jc w:val="both"/>
        <w:rPr>
          <w:rFonts w:ascii="Calibri" w:eastAsia="Calibri" w:hAnsi="Calibri" w:cs="Calibri"/>
          <w:sz w:val="22"/>
          <w:szCs w:val="22"/>
          <w:lang w:val="en-GB"/>
        </w:rPr>
      </w:pPr>
    </w:p>
    <w:p w14:paraId="00484843"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The following section presents the qualitative phase of the research, focusing on the identification of effective and transformative actions aimed at addressing pay inequalities across diverse organisational and national contexts.</w:t>
      </w:r>
    </w:p>
    <w:p w14:paraId="69128E1F" w14:textId="77777777" w:rsidR="007F395E" w:rsidRPr="00BD71B7" w:rsidRDefault="007F395E" w:rsidP="00A76941">
      <w:pPr>
        <w:pStyle w:val="Heading1"/>
      </w:pPr>
    </w:p>
    <w:p w14:paraId="7008D601" w14:textId="7F400EA5" w:rsidR="00BD71B7" w:rsidRDefault="00BD71B7" w:rsidP="00A76941">
      <w:pPr>
        <w:pStyle w:val="Heading1"/>
      </w:pPr>
      <w:bookmarkStart w:id="8" w:name="_Toc211587527"/>
      <w:r w:rsidRPr="007F395E">
        <w:t>5.The qualitative phase of the research and the identification of effective transformative actions</w:t>
      </w:r>
      <w:bookmarkEnd w:id="8"/>
    </w:p>
    <w:p w14:paraId="31BDE94D" w14:textId="77777777" w:rsidR="007F395E" w:rsidRPr="007F395E" w:rsidRDefault="007F395E" w:rsidP="00BD71B7">
      <w:pPr>
        <w:jc w:val="both"/>
        <w:rPr>
          <w:rFonts w:ascii="Calibri" w:eastAsia="Calibri" w:hAnsi="Calibri" w:cs="Calibri"/>
          <w:color w:val="7731D8"/>
          <w:lang w:val="en-GB"/>
        </w:rPr>
      </w:pPr>
    </w:p>
    <w:p w14:paraId="1E06CFE4" w14:textId="77777777" w:rsidR="00BD71B7" w:rsidRPr="00BD71B7" w:rsidRDefault="00BD71B7" w:rsidP="00BD71B7">
      <w:pPr>
        <w:jc w:val="both"/>
        <w:rPr>
          <w:rFonts w:ascii="Calibri" w:eastAsia="Calibri" w:hAnsi="Calibri" w:cs="Calibri"/>
          <w:color w:val="000000"/>
          <w:sz w:val="22"/>
          <w:szCs w:val="22"/>
          <w:lang w:val="en-GB"/>
        </w:rPr>
      </w:pPr>
      <w:r w:rsidRPr="00BD71B7">
        <w:rPr>
          <w:rFonts w:ascii="Calibri" w:eastAsia="Calibri" w:hAnsi="Calibri" w:cs="Calibri"/>
          <w:color w:val="000000"/>
          <w:sz w:val="22"/>
          <w:szCs w:val="22"/>
          <w:lang w:val="en-GB"/>
        </w:rPr>
        <w:t>The last step of this research has been complemented and validated by the empirical results obtained from the interviews. </w:t>
      </w:r>
    </w:p>
    <w:p w14:paraId="0662125B" w14:textId="77777777" w:rsidR="00BD71B7" w:rsidRPr="00BD71B7" w:rsidRDefault="00BD71B7" w:rsidP="00BD71B7">
      <w:pPr>
        <w:jc w:val="both"/>
        <w:rPr>
          <w:rFonts w:ascii="Calibri" w:eastAsia="Calibri" w:hAnsi="Calibri" w:cs="Calibri"/>
          <w:color w:val="000000"/>
          <w:sz w:val="22"/>
          <w:szCs w:val="22"/>
          <w:lang w:val="en-GB"/>
        </w:rPr>
      </w:pPr>
    </w:p>
    <w:p w14:paraId="7B66ED32" w14:textId="504A0125" w:rsidR="00BD71B7" w:rsidRPr="00D05801"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 xml:space="preserve">As specified, this project employs a </w:t>
      </w:r>
      <w:r w:rsidRPr="00BD71B7">
        <w:rPr>
          <w:rFonts w:ascii="Calibri" w:eastAsia="Calibri" w:hAnsi="Calibri" w:cs="Calibri"/>
          <w:b/>
          <w:sz w:val="22"/>
          <w:szCs w:val="22"/>
          <w:lang w:val="en-GB"/>
        </w:rPr>
        <w:t>qualitative research design</w:t>
      </w:r>
      <w:r w:rsidRPr="00BD71B7">
        <w:rPr>
          <w:rFonts w:ascii="Calibri" w:eastAsia="Calibri" w:hAnsi="Calibri" w:cs="Calibri"/>
          <w:sz w:val="22"/>
          <w:szCs w:val="22"/>
          <w:lang w:val="en-GB"/>
        </w:rPr>
        <w:t xml:space="preserve"> to conduct interviews with the relevant stakeholders, supplemented by comprehensive reviews of policies and practices shared by the interviewees. The qualitative approach has been selected to gain detailed insights into sectoral strategies and mechanisms related to pay and remuneration. A semi-structured interview guide has been developed with questions focusing on specific areas of interest connected to pay equity and GPG, specifically targeting root causes and examples of good practices to tackle the GPG. Interviews have been conducted via video conferencing, with each session recorded for transcription and analysis. </w:t>
      </w:r>
      <w:r w:rsidRPr="00CA7D97">
        <w:rPr>
          <w:rFonts w:ascii="Calibri" w:eastAsia="Calibri" w:hAnsi="Calibri" w:cs="Calibri"/>
          <w:sz w:val="22"/>
          <w:szCs w:val="22"/>
          <w:lang w:val="en-GB"/>
        </w:rPr>
        <w:t>The sample consisted of representatives from the key sectors</w:t>
      </w:r>
      <w:r w:rsidR="00186385" w:rsidRPr="00CA7D97">
        <w:rPr>
          <w:rFonts w:ascii="Calibri" w:eastAsia="Calibri" w:hAnsi="Calibri" w:cs="Calibri"/>
          <w:sz w:val="22"/>
          <w:szCs w:val="22"/>
          <w:lang w:val="en-GB"/>
        </w:rPr>
        <w:t xml:space="preserve"> identified</w:t>
      </w:r>
      <w:r w:rsidR="00D05801" w:rsidRPr="00CA7D97">
        <w:rPr>
          <w:rFonts w:ascii="Calibri" w:eastAsia="Calibri" w:hAnsi="Calibri" w:cs="Calibri"/>
          <w:sz w:val="22"/>
          <w:szCs w:val="22"/>
          <w:lang w:val="en-GB"/>
        </w:rPr>
        <w:t xml:space="preserve"> and the broader labour market across the consortium countries. Participants were purposefully selected based on their active roles in shaping, implementing, influencing or experiencing pay-related policies and gender equality initiatives</w:t>
      </w:r>
      <w:r w:rsidRPr="00CA7D97">
        <w:rPr>
          <w:rFonts w:ascii="Calibri" w:eastAsia="Calibri" w:hAnsi="Calibri" w:cs="Calibri"/>
          <w:sz w:val="22"/>
          <w:szCs w:val="22"/>
          <w:lang w:val="en-GB"/>
        </w:rPr>
        <w:t>.</w:t>
      </w:r>
      <w:r w:rsidR="00D05801" w:rsidRPr="00D05801">
        <w:rPr>
          <w:rFonts w:ascii="Calibri" w:eastAsia="Calibri" w:hAnsi="Calibri" w:cs="Calibri"/>
          <w:sz w:val="22"/>
          <w:szCs w:val="22"/>
          <w:lang w:val="en-GB"/>
        </w:rPr>
        <w:t xml:space="preserve"> </w:t>
      </w:r>
      <w:r w:rsidRPr="00D05801">
        <w:rPr>
          <w:rFonts w:ascii="Calibri" w:eastAsia="Calibri" w:hAnsi="Calibri" w:cs="Calibri"/>
          <w:sz w:val="22"/>
          <w:szCs w:val="22"/>
          <w:lang w:val="en-GB"/>
        </w:rPr>
        <w:t xml:space="preserve">Their perspectives offered valuable insights into both high-level policy development and practical implementation. </w:t>
      </w:r>
    </w:p>
    <w:p w14:paraId="1360E593" w14:textId="77777777" w:rsidR="00D05801" w:rsidRDefault="00D05801" w:rsidP="00BD71B7">
      <w:pPr>
        <w:jc w:val="both"/>
        <w:rPr>
          <w:rFonts w:ascii="Calibri" w:eastAsia="Calibri" w:hAnsi="Calibri" w:cs="Calibri"/>
          <w:sz w:val="22"/>
          <w:szCs w:val="22"/>
          <w:lang w:val="en-GB"/>
        </w:rPr>
      </w:pPr>
    </w:p>
    <w:p w14:paraId="73DDCCD4" w14:textId="77777777" w:rsidR="00D05801"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The analysis followed a multi-method qualitative approach, incorporating both </w:t>
      </w:r>
      <w:r w:rsidRPr="00BD71B7">
        <w:rPr>
          <w:rFonts w:ascii="Calibri" w:eastAsia="Calibri" w:hAnsi="Calibri" w:cs="Calibri"/>
          <w:b/>
          <w:sz w:val="22"/>
          <w:szCs w:val="22"/>
          <w:lang w:val="en-GB"/>
        </w:rPr>
        <w:t>thematic analysis of interview data</w:t>
      </w:r>
      <w:r w:rsidRPr="00BD71B7">
        <w:rPr>
          <w:rFonts w:ascii="Calibri" w:eastAsia="Calibri" w:hAnsi="Calibri" w:cs="Calibri"/>
          <w:sz w:val="22"/>
          <w:szCs w:val="22"/>
          <w:lang w:val="en-GB"/>
        </w:rPr>
        <w:t> and </w:t>
      </w:r>
      <w:r w:rsidRPr="00BD71B7">
        <w:rPr>
          <w:rFonts w:ascii="Calibri" w:eastAsia="Calibri" w:hAnsi="Calibri" w:cs="Calibri"/>
          <w:b/>
          <w:sz w:val="22"/>
          <w:szCs w:val="22"/>
          <w:lang w:val="en-GB"/>
        </w:rPr>
        <w:t>document analysis</w:t>
      </w:r>
      <w:r w:rsidRPr="00BD71B7">
        <w:rPr>
          <w:rFonts w:ascii="Calibri" w:eastAsia="Calibri" w:hAnsi="Calibri" w:cs="Calibri"/>
          <w:sz w:val="22"/>
          <w:szCs w:val="22"/>
          <w:lang w:val="en-GB"/>
        </w:rPr>
        <w:t> of supplementary materials provided by participants.</w:t>
      </w:r>
      <w:r w:rsidR="00D05801">
        <w:rPr>
          <w:rFonts w:ascii="Calibri" w:eastAsia="Calibri" w:hAnsi="Calibri" w:cs="Calibri"/>
          <w:sz w:val="22"/>
          <w:szCs w:val="22"/>
          <w:lang w:val="en-GB"/>
        </w:rPr>
        <w:t xml:space="preserve"> </w:t>
      </w:r>
    </w:p>
    <w:p w14:paraId="092A779E" w14:textId="77777777" w:rsidR="00D05801" w:rsidRDefault="00D05801" w:rsidP="00BD71B7">
      <w:pPr>
        <w:jc w:val="both"/>
        <w:rPr>
          <w:rFonts w:ascii="Calibri" w:eastAsia="Calibri" w:hAnsi="Calibri" w:cs="Calibri"/>
          <w:sz w:val="22"/>
          <w:szCs w:val="22"/>
          <w:lang w:val="en-GB"/>
        </w:rPr>
      </w:pPr>
    </w:p>
    <w:p w14:paraId="2D12E50A" w14:textId="1F07CC04"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For the interviews, </w:t>
      </w:r>
      <w:r w:rsidRPr="00BD71B7">
        <w:rPr>
          <w:rFonts w:ascii="Calibri" w:eastAsia="Calibri" w:hAnsi="Calibri" w:cs="Calibri"/>
          <w:b/>
          <w:sz w:val="22"/>
          <w:szCs w:val="22"/>
          <w:lang w:val="en-GB"/>
        </w:rPr>
        <w:t>thematic analysis</w:t>
      </w:r>
      <w:r w:rsidRPr="00BD71B7">
        <w:rPr>
          <w:rFonts w:ascii="Calibri" w:eastAsia="Calibri" w:hAnsi="Calibri" w:cs="Calibri"/>
          <w:sz w:val="22"/>
          <w:szCs w:val="22"/>
          <w:lang w:val="en-GB"/>
        </w:rPr>
        <w:t xml:space="preserve"> was conducted using qualitative coding techniques. Transcripts were systematically reviewed to identify, code, and categorise recurring themes, patterns, and divergences within the data. This method allowed for a structured interpretation of participants' views and experiences, </w:t>
      </w:r>
      <w:r w:rsidRPr="00BD71B7">
        <w:rPr>
          <w:rFonts w:ascii="Calibri" w:eastAsia="Calibri" w:hAnsi="Calibri" w:cs="Calibri"/>
          <w:sz w:val="22"/>
          <w:szCs w:val="22"/>
          <w:lang w:val="en-GB"/>
        </w:rPr>
        <w:lastRenderedPageBreak/>
        <w:t>shedding light on common practices, challenges, and emerging trends in pay transparency and gender pay gap levels across different national contexts. In parallel, the document analysis complemented the interview data by providing concrete examples and institutional context.</w:t>
      </w:r>
    </w:p>
    <w:p w14:paraId="2A7EA1AE" w14:textId="77777777" w:rsidR="007F395E" w:rsidRPr="00BD71B7" w:rsidRDefault="007F395E" w:rsidP="00BD71B7">
      <w:pPr>
        <w:jc w:val="both"/>
        <w:rPr>
          <w:rFonts w:ascii="Calibri" w:eastAsia="Calibri" w:hAnsi="Calibri" w:cs="Calibri"/>
          <w:sz w:val="22"/>
          <w:szCs w:val="22"/>
          <w:lang w:val="en-GB"/>
        </w:rPr>
      </w:pPr>
    </w:p>
    <w:p w14:paraId="48E9786A"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 xml:space="preserve">Notably, the findings reflected patterns already identified in the literature, particularly in relation to the structural and systemic causes of the gender pay gap, such as occupational segregation, unequal care responsibilities, and limited pay transparency mechanisms. These findings were also consistent with national labour markets structures and evident across different sectors, highlighting how deeply rooted inequalities continue to shape pay inequity. In line with this, participants consistently acknowledged that the EU PTD could serve as a valuable starting point, provided it is transposed effectively into national legislation. </w:t>
      </w:r>
    </w:p>
    <w:p w14:paraId="33EA5D1A" w14:textId="77777777" w:rsidR="007F395E" w:rsidRPr="00BD71B7" w:rsidRDefault="007F395E" w:rsidP="00BD71B7">
      <w:pPr>
        <w:jc w:val="both"/>
        <w:rPr>
          <w:rFonts w:ascii="Calibri" w:eastAsia="Calibri" w:hAnsi="Calibri" w:cs="Calibri"/>
          <w:sz w:val="22"/>
          <w:szCs w:val="22"/>
          <w:lang w:val="en-GB"/>
        </w:rPr>
      </w:pPr>
    </w:p>
    <w:p w14:paraId="3FBD54CC" w14:textId="3D67D96E" w:rsidR="00BD71B7" w:rsidRDefault="00BD71B7" w:rsidP="00097F8D">
      <w:pPr>
        <w:pStyle w:val="Heading1"/>
      </w:pPr>
      <w:bookmarkStart w:id="9" w:name="_Toc211587528"/>
      <w:r w:rsidRPr="007F395E">
        <w:t>6.Closing Remarks</w:t>
      </w:r>
      <w:bookmarkEnd w:id="9"/>
    </w:p>
    <w:p w14:paraId="15E8F016" w14:textId="77777777" w:rsidR="007F395E" w:rsidRPr="007F395E" w:rsidRDefault="007F395E" w:rsidP="00BD71B7">
      <w:pPr>
        <w:jc w:val="both"/>
        <w:rPr>
          <w:rFonts w:ascii="Calibri" w:eastAsia="Calibri" w:hAnsi="Calibri" w:cs="Calibri"/>
          <w:b/>
          <w:color w:val="7731D8"/>
          <w:lang w:val="en-GB"/>
        </w:rPr>
      </w:pPr>
    </w:p>
    <w:p w14:paraId="5D6AEB3A"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To conclude, data from both sources, the interviews and the documents, were then </w:t>
      </w:r>
      <w:r w:rsidRPr="004E43B9">
        <w:rPr>
          <w:rFonts w:ascii="Calibri" w:eastAsia="Calibri" w:hAnsi="Calibri" w:cs="Calibri"/>
          <w:bCs/>
          <w:sz w:val="22"/>
          <w:szCs w:val="22"/>
          <w:lang w:val="en-GB"/>
        </w:rPr>
        <w:t>triangulated</w:t>
      </w:r>
      <w:r w:rsidRPr="00BD71B7">
        <w:rPr>
          <w:rFonts w:ascii="Calibri" w:eastAsia="Calibri" w:hAnsi="Calibri" w:cs="Calibri"/>
          <w:sz w:val="22"/>
          <w:szCs w:val="22"/>
          <w:lang w:val="en-GB"/>
        </w:rPr>
        <w:t> with findings from the existing literature review. This cross-referencing process helped validate the insights and ensured internal consistency, as well as a comprehensive understanding of pay-related practices across the consortium countries. This, in turn, informed the development of the overall deliverable as well as the </w:t>
      </w:r>
      <w:r w:rsidRPr="00BD71B7">
        <w:rPr>
          <w:rFonts w:ascii="Calibri" w:eastAsia="Calibri" w:hAnsi="Calibri" w:cs="Calibri"/>
          <w:b/>
          <w:sz w:val="22"/>
          <w:szCs w:val="22"/>
          <w:lang w:val="en-GB"/>
        </w:rPr>
        <w:t>good practice map</w:t>
      </w:r>
      <w:r w:rsidRPr="00BD71B7">
        <w:rPr>
          <w:rFonts w:ascii="Calibri" w:eastAsia="Calibri" w:hAnsi="Calibri" w:cs="Calibri"/>
          <w:sz w:val="22"/>
          <w:szCs w:val="22"/>
          <w:lang w:val="en-GB"/>
        </w:rPr>
        <w:t>, grounded in existing literature and the evidence gathered and shaped by practical examples and stakeholder experiences.</w:t>
      </w:r>
    </w:p>
    <w:p w14:paraId="0F86219E" w14:textId="77777777" w:rsidR="007F395E" w:rsidRPr="00BD71B7" w:rsidRDefault="007F395E" w:rsidP="00BD71B7">
      <w:pPr>
        <w:jc w:val="both"/>
        <w:rPr>
          <w:rFonts w:ascii="Calibri" w:eastAsia="Calibri" w:hAnsi="Calibri" w:cs="Calibri"/>
          <w:sz w:val="22"/>
          <w:szCs w:val="22"/>
          <w:lang w:val="en-GB"/>
        </w:rPr>
      </w:pPr>
    </w:p>
    <w:p w14:paraId="69CEF718" w14:textId="77777777" w:rsid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Crucially, this process also enabled the </w:t>
      </w:r>
      <w:r w:rsidRPr="00BD71B7">
        <w:rPr>
          <w:rFonts w:ascii="Calibri" w:eastAsia="Calibri" w:hAnsi="Calibri" w:cs="Calibri"/>
          <w:b/>
          <w:sz w:val="22"/>
          <w:szCs w:val="22"/>
          <w:lang w:val="en-GB"/>
        </w:rPr>
        <w:t>identification of effective transformative actions</w:t>
      </w:r>
      <w:r w:rsidRPr="00BD71B7">
        <w:rPr>
          <w:rFonts w:ascii="Calibri" w:eastAsia="Calibri" w:hAnsi="Calibri" w:cs="Calibri"/>
          <w:sz w:val="22"/>
          <w:szCs w:val="22"/>
          <w:lang w:val="en-GB"/>
        </w:rPr>
        <w:t>, which have been integrated into the deliverable. These actions, drawn from real-world experiences, reflect not only compliance with legal obligations but also proactive and innovative approaches to structural change.</w:t>
      </w:r>
    </w:p>
    <w:p w14:paraId="365D2900" w14:textId="77777777" w:rsidR="007F395E" w:rsidRPr="00BD71B7" w:rsidRDefault="007F395E" w:rsidP="00BD71B7">
      <w:pPr>
        <w:jc w:val="both"/>
        <w:rPr>
          <w:rFonts w:ascii="Calibri" w:eastAsia="Calibri" w:hAnsi="Calibri" w:cs="Calibri"/>
          <w:sz w:val="22"/>
          <w:szCs w:val="22"/>
          <w:lang w:val="en-GB"/>
        </w:rPr>
      </w:pPr>
    </w:p>
    <w:p w14:paraId="43EA4A8E" w14:textId="3F839313" w:rsidR="00BD71B7" w:rsidRPr="00BD71B7" w:rsidRDefault="00BD71B7" w:rsidP="00BD71B7">
      <w:pPr>
        <w:jc w:val="both"/>
        <w:rPr>
          <w:rFonts w:ascii="Calibri" w:eastAsia="Calibri" w:hAnsi="Calibri" w:cs="Calibri"/>
          <w:sz w:val="22"/>
          <w:szCs w:val="22"/>
          <w:lang w:val="en-GB"/>
        </w:rPr>
      </w:pPr>
      <w:r w:rsidRPr="00BD71B7">
        <w:rPr>
          <w:rFonts w:ascii="Calibri" w:eastAsia="Calibri" w:hAnsi="Calibri" w:cs="Calibri"/>
          <w:sz w:val="22"/>
          <w:szCs w:val="22"/>
          <w:lang w:val="en-GB"/>
        </w:rPr>
        <w:t>In this context, the visual clarity of the deliverable and the good practice map has also been a central consideration in its design. The author emphasises that the map was developed to be </w:t>
      </w:r>
      <w:r w:rsidRPr="00BD71B7">
        <w:rPr>
          <w:rFonts w:ascii="Calibri" w:eastAsia="Calibri" w:hAnsi="Calibri" w:cs="Calibri"/>
          <w:b/>
          <w:sz w:val="22"/>
          <w:szCs w:val="22"/>
          <w:lang w:val="en-GB"/>
        </w:rPr>
        <w:t>accessible, intuitive, and user-friendly</w:t>
      </w:r>
      <w:r w:rsidRPr="00BD71B7">
        <w:rPr>
          <w:rFonts w:ascii="Calibri" w:eastAsia="Calibri" w:hAnsi="Calibri" w:cs="Calibri"/>
          <w:sz w:val="22"/>
          <w:szCs w:val="22"/>
          <w:lang w:val="en-GB"/>
        </w:rPr>
        <w:t xml:space="preserve">, ensuring that key insights and recommendations are communicated effectively to a diverse range of stakeholders. Clear visual representation is critical for facilitating the uptake of findings. By presenting information in a straightforward and structured format, the map enables stakeholders, from </w:t>
      </w:r>
      <w:r w:rsidR="008C034F" w:rsidRPr="00BD71B7">
        <w:rPr>
          <w:rFonts w:ascii="Calibri" w:eastAsia="Calibri" w:hAnsi="Calibri" w:cs="Calibri"/>
          <w:sz w:val="22"/>
          <w:szCs w:val="22"/>
          <w:lang w:val="en-GB"/>
        </w:rPr>
        <w:t>policymakers</w:t>
      </w:r>
      <w:r w:rsidRPr="00BD71B7">
        <w:rPr>
          <w:rFonts w:ascii="Calibri" w:eastAsia="Calibri" w:hAnsi="Calibri" w:cs="Calibri"/>
          <w:sz w:val="22"/>
          <w:szCs w:val="22"/>
          <w:lang w:val="en-GB"/>
        </w:rPr>
        <w:t xml:space="preserve"> to employers and social partners, to quickly grasp essential components of effective practices. This approach increases the likelihood of the map being used not just as a reference, but as a </w:t>
      </w:r>
      <w:r w:rsidRPr="00BD71B7">
        <w:rPr>
          <w:rFonts w:ascii="Calibri" w:eastAsia="Calibri" w:hAnsi="Calibri" w:cs="Calibri"/>
          <w:b/>
          <w:sz w:val="22"/>
          <w:szCs w:val="22"/>
          <w:lang w:val="en-GB"/>
        </w:rPr>
        <w:t xml:space="preserve">practical tool </w:t>
      </w:r>
      <w:r w:rsidRPr="00BD71B7">
        <w:rPr>
          <w:rFonts w:ascii="Calibri" w:eastAsia="Calibri" w:hAnsi="Calibri" w:cs="Calibri"/>
          <w:sz w:val="22"/>
          <w:szCs w:val="22"/>
          <w:lang w:val="en-GB"/>
        </w:rPr>
        <w:t>to inform real-world strategies and adaptations in different organisational and policy contexts.</w:t>
      </w:r>
    </w:p>
    <w:p w14:paraId="0E3B0693" w14:textId="77777777" w:rsidR="00BD71B7" w:rsidRPr="00BD71B7" w:rsidRDefault="00BD71B7" w:rsidP="00BD71B7">
      <w:pPr>
        <w:jc w:val="both"/>
        <w:rPr>
          <w:rFonts w:ascii="Calibri" w:eastAsia="Calibri" w:hAnsi="Calibri" w:cs="Calibri"/>
          <w:b/>
          <w:color w:val="7731D8"/>
          <w:sz w:val="22"/>
          <w:szCs w:val="22"/>
          <w:lang w:val="en-GB"/>
        </w:rPr>
      </w:pPr>
    </w:p>
    <w:p w14:paraId="661BFC9C" w14:textId="77777777" w:rsidR="008C034F" w:rsidRDefault="008C034F" w:rsidP="00BD71B7">
      <w:pPr>
        <w:jc w:val="both"/>
        <w:rPr>
          <w:rFonts w:ascii="Calibri" w:eastAsia="Calibri" w:hAnsi="Calibri" w:cs="Calibri"/>
          <w:b/>
          <w:color w:val="7731D8"/>
          <w:sz w:val="22"/>
          <w:szCs w:val="22"/>
          <w:lang w:val="en-GB"/>
        </w:rPr>
      </w:pPr>
    </w:p>
    <w:p w14:paraId="32ECEA1D" w14:textId="77777777" w:rsidR="008C034F" w:rsidRDefault="008C034F" w:rsidP="00BD71B7">
      <w:pPr>
        <w:jc w:val="both"/>
        <w:rPr>
          <w:rFonts w:ascii="Calibri" w:eastAsia="Calibri" w:hAnsi="Calibri" w:cs="Calibri"/>
          <w:b/>
          <w:color w:val="7731D8"/>
          <w:sz w:val="22"/>
          <w:szCs w:val="22"/>
          <w:lang w:val="en-GB"/>
        </w:rPr>
      </w:pPr>
    </w:p>
    <w:p w14:paraId="772A8873" w14:textId="77777777" w:rsidR="008C034F" w:rsidRDefault="008C034F" w:rsidP="00BD71B7">
      <w:pPr>
        <w:jc w:val="both"/>
        <w:rPr>
          <w:rFonts w:ascii="Calibri" w:eastAsia="Calibri" w:hAnsi="Calibri" w:cs="Calibri"/>
          <w:b/>
          <w:color w:val="7731D8"/>
          <w:sz w:val="22"/>
          <w:szCs w:val="22"/>
          <w:lang w:val="en-GB"/>
        </w:rPr>
      </w:pPr>
    </w:p>
    <w:p w14:paraId="61E4B888" w14:textId="77777777" w:rsidR="008C034F" w:rsidRDefault="008C034F" w:rsidP="00BD71B7">
      <w:pPr>
        <w:jc w:val="both"/>
        <w:rPr>
          <w:rFonts w:ascii="Calibri" w:eastAsia="Calibri" w:hAnsi="Calibri" w:cs="Calibri"/>
          <w:b/>
          <w:color w:val="7731D8"/>
          <w:sz w:val="22"/>
          <w:szCs w:val="22"/>
          <w:lang w:val="en-GB"/>
        </w:rPr>
      </w:pPr>
    </w:p>
    <w:p w14:paraId="6AA6CC63" w14:textId="77777777" w:rsidR="008C034F" w:rsidRDefault="008C034F" w:rsidP="00BD71B7">
      <w:pPr>
        <w:jc w:val="both"/>
        <w:rPr>
          <w:rFonts w:ascii="Calibri" w:eastAsia="Calibri" w:hAnsi="Calibri" w:cs="Calibri"/>
          <w:b/>
          <w:color w:val="7731D8"/>
          <w:sz w:val="22"/>
          <w:szCs w:val="22"/>
          <w:lang w:val="en-GB"/>
        </w:rPr>
      </w:pPr>
    </w:p>
    <w:p w14:paraId="26CC03BE" w14:textId="77777777" w:rsidR="008C034F" w:rsidRDefault="008C034F" w:rsidP="00BD71B7">
      <w:pPr>
        <w:jc w:val="both"/>
        <w:rPr>
          <w:rFonts w:ascii="Calibri" w:eastAsia="Calibri" w:hAnsi="Calibri" w:cs="Calibri"/>
          <w:b/>
          <w:color w:val="7731D8"/>
          <w:sz w:val="22"/>
          <w:szCs w:val="22"/>
          <w:lang w:val="en-GB"/>
        </w:rPr>
      </w:pPr>
    </w:p>
    <w:p w14:paraId="683BA913" w14:textId="77777777" w:rsidR="008C034F" w:rsidRDefault="008C034F" w:rsidP="00BD71B7">
      <w:pPr>
        <w:jc w:val="both"/>
        <w:rPr>
          <w:rFonts w:ascii="Calibri" w:eastAsia="Calibri" w:hAnsi="Calibri" w:cs="Calibri"/>
          <w:b/>
          <w:color w:val="7731D8"/>
          <w:sz w:val="22"/>
          <w:szCs w:val="22"/>
          <w:lang w:val="en-GB"/>
        </w:rPr>
      </w:pPr>
    </w:p>
    <w:p w14:paraId="70D0A620" w14:textId="77777777" w:rsidR="00240688" w:rsidRDefault="00240688" w:rsidP="00BD71B7">
      <w:pPr>
        <w:jc w:val="both"/>
        <w:rPr>
          <w:rFonts w:ascii="Calibri" w:eastAsia="Calibri" w:hAnsi="Calibri" w:cs="Calibri"/>
          <w:b/>
          <w:color w:val="7731D8"/>
          <w:lang w:val="en-GB"/>
        </w:rPr>
      </w:pPr>
    </w:p>
    <w:p w14:paraId="0A908983" w14:textId="77777777" w:rsidR="00240688" w:rsidRDefault="00240688" w:rsidP="00BD71B7">
      <w:pPr>
        <w:jc w:val="both"/>
        <w:rPr>
          <w:rFonts w:ascii="Calibri" w:eastAsia="Calibri" w:hAnsi="Calibri" w:cs="Calibri"/>
          <w:b/>
          <w:color w:val="7731D8"/>
          <w:lang w:val="en-GB"/>
        </w:rPr>
      </w:pPr>
    </w:p>
    <w:p w14:paraId="7957B7FE" w14:textId="77777777" w:rsidR="00240688" w:rsidRDefault="00240688" w:rsidP="00BD71B7">
      <w:pPr>
        <w:jc w:val="both"/>
        <w:rPr>
          <w:rFonts w:ascii="Calibri" w:eastAsia="Calibri" w:hAnsi="Calibri" w:cs="Calibri"/>
          <w:b/>
          <w:color w:val="7731D8"/>
          <w:lang w:val="en-GB"/>
        </w:rPr>
      </w:pPr>
    </w:p>
    <w:p w14:paraId="209E4929" w14:textId="77777777" w:rsidR="00240688" w:rsidRDefault="00240688" w:rsidP="00BD71B7">
      <w:pPr>
        <w:jc w:val="both"/>
        <w:rPr>
          <w:rFonts w:ascii="Calibri" w:eastAsia="Calibri" w:hAnsi="Calibri" w:cs="Calibri"/>
          <w:b/>
          <w:color w:val="7731D8"/>
          <w:lang w:val="en-GB"/>
        </w:rPr>
      </w:pPr>
    </w:p>
    <w:p w14:paraId="0977F8D7" w14:textId="69020037" w:rsidR="00BD71B7" w:rsidRPr="007F395E" w:rsidRDefault="00BD71B7" w:rsidP="00020DBF">
      <w:pPr>
        <w:pStyle w:val="Heading1"/>
      </w:pPr>
      <w:bookmarkStart w:id="10" w:name="_Toc211587529"/>
      <w:r w:rsidRPr="007F395E">
        <w:t>List of References</w:t>
      </w:r>
      <w:bookmarkEnd w:id="10"/>
      <w:r w:rsidR="00020DBF">
        <w:t>:</w:t>
      </w:r>
    </w:p>
    <w:p w14:paraId="5A9215DD" w14:textId="77777777" w:rsidR="00BD71B7" w:rsidRPr="00BD71B7" w:rsidRDefault="00BD71B7" w:rsidP="00BD71B7">
      <w:pPr>
        <w:jc w:val="both"/>
        <w:rPr>
          <w:rFonts w:ascii="Calibri" w:eastAsia="Calibri" w:hAnsi="Calibri" w:cs="Calibri"/>
          <w:sz w:val="22"/>
          <w:szCs w:val="22"/>
          <w:lang w:val="en-GB"/>
        </w:rPr>
      </w:pPr>
    </w:p>
    <w:p w14:paraId="2028D26C" w14:textId="77777777" w:rsidR="002E7E3A" w:rsidRDefault="002E7E3A" w:rsidP="00BD71B7">
      <w:pPr>
        <w:jc w:val="both"/>
        <w:rPr>
          <w:rFonts w:ascii="Calibri" w:eastAsia="Calibri" w:hAnsi="Calibri" w:cs="Calibri"/>
          <w:b/>
          <w:bCs/>
          <w:sz w:val="22"/>
          <w:szCs w:val="22"/>
          <w:lang w:val="en-GB"/>
        </w:rPr>
      </w:pPr>
      <w:r w:rsidRPr="002E7E3A">
        <w:rPr>
          <w:rFonts w:ascii="Calibri" w:eastAsia="Calibri" w:hAnsi="Calibri" w:cs="Calibri"/>
          <w:b/>
          <w:bCs/>
          <w:sz w:val="22"/>
          <w:szCs w:val="22"/>
          <w:lang w:val="en-GB"/>
        </w:rPr>
        <w:t xml:space="preserve">Primary Sources: </w:t>
      </w:r>
    </w:p>
    <w:p w14:paraId="22FDE24C" w14:textId="77777777" w:rsidR="002E7E3A" w:rsidRDefault="002E7E3A" w:rsidP="00BD71B7">
      <w:pPr>
        <w:jc w:val="both"/>
        <w:rPr>
          <w:rFonts w:ascii="Calibri" w:eastAsia="Calibri" w:hAnsi="Calibri" w:cs="Calibri"/>
          <w:b/>
          <w:bCs/>
          <w:sz w:val="22"/>
          <w:szCs w:val="22"/>
          <w:lang w:val="en-GB"/>
        </w:rPr>
      </w:pPr>
    </w:p>
    <w:p w14:paraId="6D16D661" w14:textId="34CE4957" w:rsidR="00B66C25" w:rsidRPr="00B66C25" w:rsidRDefault="00B66C25" w:rsidP="00BD71B7">
      <w:pPr>
        <w:jc w:val="both"/>
        <w:rPr>
          <w:rFonts w:ascii="Calibri" w:eastAsia="Calibri" w:hAnsi="Calibri" w:cs="Calibri"/>
          <w:sz w:val="22"/>
          <w:szCs w:val="22"/>
          <w:lang w:val="it-IT"/>
        </w:rPr>
      </w:pPr>
      <w:r w:rsidRPr="00B66C25">
        <w:rPr>
          <w:rFonts w:ascii="Calibri" w:eastAsia="Calibri" w:hAnsi="Calibri" w:cs="Calibri"/>
          <w:sz w:val="22"/>
          <w:szCs w:val="22"/>
          <w:lang w:val="it-IT"/>
        </w:rPr>
        <w:t xml:space="preserve">Case 43/75 </w:t>
      </w:r>
      <w:r w:rsidRPr="00B66C25">
        <w:rPr>
          <w:rFonts w:ascii="Calibri" w:eastAsia="Calibri" w:hAnsi="Calibri" w:cs="Calibri"/>
          <w:i/>
          <w:sz w:val="22"/>
          <w:szCs w:val="22"/>
          <w:lang w:val="it-IT"/>
        </w:rPr>
        <w:t>Gabrielle Defrenne v Société anonyme belge de navigation aérienne Sabena</w:t>
      </w:r>
      <w:r w:rsidRPr="00B66C25">
        <w:rPr>
          <w:rFonts w:ascii="Calibri" w:eastAsia="Calibri" w:hAnsi="Calibri" w:cs="Calibri"/>
          <w:sz w:val="22"/>
          <w:szCs w:val="22"/>
          <w:lang w:val="it-IT"/>
        </w:rPr>
        <w:t xml:space="preserve"> [1976] ECR 00455, para 40</w:t>
      </w:r>
    </w:p>
    <w:p w14:paraId="6F5BC155" w14:textId="77777777" w:rsidR="00B66C25" w:rsidRDefault="00B66C25" w:rsidP="002E7E3A">
      <w:pPr>
        <w:jc w:val="both"/>
        <w:rPr>
          <w:rFonts w:ascii="Calibri" w:eastAsia="Calibri" w:hAnsi="Calibri" w:cs="Calibri"/>
          <w:sz w:val="22"/>
          <w:szCs w:val="22"/>
          <w:lang w:val="it-IT"/>
        </w:rPr>
      </w:pPr>
    </w:p>
    <w:p w14:paraId="2C03EEE6" w14:textId="2A424F91" w:rsidR="002E7E3A" w:rsidRDefault="002E7E3A" w:rsidP="002E7E3A">
      <w:pPr>
        <w:jc w:val="both"/>
        <w:rPr>
          <w:rFonts w:ascii="Calibri" w:eastAsia="Calibri" w:hAnsi="Calibri" w:cs="Calibri"/>
          <w:sz w:val="22"/>
          <w:szCs w:val="22"/>
          <w:lang w:val="it-IT"/>
        </w:rPr>
      </w:pPr>
      <w:r w:rsidRPr="002E7E3A">
        <w:rPr>
          <w:rFonts w:ascii="Calibri" w:eastAsia="Calibri" w:hAnsi="Calibri" w:cs="Calibri"/>
          <w:sz w:val="22"/>
          <w:szCs w:val="22"/>
          <w:lang w:val="it-IT"/>
        </w:rPr>
        <w:t>Mangena v Fila South Africa 2009 12 BLLR 1224 (LC) para 11</w:t>
      </w:r>
    </w:p>
    <w:p w14:paraId="3BFC76D5" w14:textId="77777777" w:rsidR="002E7E3A" w:rsidRDefault="002E7E3A" w:rsidP="002E7E3A">
      <w:pPr>
        <w:jc w:val="both"/>
        <w:rPr>
          <w:rFonts w:ascii="Calibri" w:eastAsia="Calibri" w:hAnsi="Calibri" w:cs="Calibri"/>
          <w:sz w:val="22"/>
          <w:szCs w:val="22"/>
          <w:lang w:val="it-IT"/>
        </w:rPr>
      </w:pPr>
    </w:p>
    <w:p w14:paraId="6AE1F773" w14:textId="77777777" w:rsidR="002E7E3A" w:rsidRDefault="002E7E3A" w:rsidP="002E7E3A">
      <w:pPr>
        <w:jc w:val="both"/>
        <w:rPr>
          <w:rFonts w:ascii="Calibri" w:eastAsia="Calibri" w:hAnsi="Calibri" w:cs="Calibri"/>
          <w:sz w:val="22"/>
          <w:szCs w:val="22"/>
          <w:lang w:val="en-GB"/>
        </w:rPr>
      </w:pPr>
      <w:r w:rsidRPr="002E7E3A">
        <w:rPr>
          <w:rFonts w:ascii="Calibri" w:eastAsia="Calibri" w:hAnsi="Calibri" w:cs="Calibri"/>
          <w:sz w:val="22"/>
          <w:szCs w:val="22"/>
          <w:lang w:val="en-GB"/>
        </w:rPr>
        <w:t>Louw v Golden Arrow Bus Services 2000 21 ILJ (LC) 188 para 23</w:t>
      </w:r>
    </w:p>
    <w:p w14:paraId="3F97BC07" w14:textId="77777777" w:rsidR="00B66C25" w:rsidRDefault="00B66C25" w:rsidP="002E7E3A">
      <w:pPr>
        <w:jc w:val="both"/>
        <w:rPr>
          <w:rFonts w:ascii="Calibri" w:eastAsia="Calibri" w:hAnsi="Calibri" w:cs="Calibri"/>
          <w:sz w:val="22"/>
          <w:szCs w:val="22"/>
          <w:lang w:val="en-GB"/>
        </w:rPr>
      </w:pPr>
    </w:p>
    <w:p w14:paraId="33EAB16D" w14:textId="4DA57013" w:rsidR="00B66C25" w:rsidRDefault="00B66C25" w:rsidP="002E7E3A">
      <w:pPr>
        <w:jc w:val="both"/>
        <w:rPr>
          <w:rFonts w:ascii="Calibri" w:eastAsia="Calibri" w:hAnsi="Calibri" w:cs="Calibri"/>
          <w:sz w:val="22"/>
          <w:szCs w:val="22"/>
          <w:lang w:val="en-GB"/>
        </w:rPr>
      </w:pPr>
      <w:r w:rsidRPr="00B66C25">
        <w:rPr>
          <w:rFonts w:ascii="Calibri" w:eastAsia="Calibri" w:hAnsi="Calibri" w:cs="Calibri"/>
          <w:color w:val="000000"/>
          <w:sz w:val="22"/>
          <w:szCs w:val="22"/>
          <w:lang w:val="en-GB"/>
        </w:rPr>
        <w:t>Consolidated Version of the Treaty on the Functioning of the European Union, [2012], OJ C326/117, art. 157, para 1</w:t>
      </w:r>
    </w:p>
    <w:p w14:paraId="750EABB0" w14:textId="77777777" w:rsidR="001D6633" w:rsidRDefault="001D6633" w:rsidP="002E7E3A">
      <w:pPr>
        <w:jc w:val="both"/>
        <w:rPr>
          <w:rFonts w:ascii="Calibri" w:eastAsia="Calibri" w:hAnsi="Calibri" w:cs="Calibri"/>
          <w:sz w:val="22"/>
          <w:szCs w:val="22"/>
          <w:lang w:val="en-GB"/>
        </w:rPr>
      </w:pPr>
    </w:p>
    <w:p w14:paraId="1E89661C" w14:textId="65695912" w:rsidR="001D6633" w:rsidRDefault="001D6633" w:rsidP="002E7E3A">
      <w:pPr>
        <w:jc w:val="both"/>
        <w:rPr>
          <w:rFonts w:ascii="Calibri" w:eastAsia="Calibri" w:hAnsi="Calibri" w:cs="Calibri"/>
          <w:sz w:val="22"/>
          <w:szCs w:val="22"/>
          <w:lang w:val="en-GB"/>
        </w:rPr>
      </w:pPr>
      <w:r w:rsidRPr="001D6633">
        <w:rPr>
          <w:rFonts w:ascii="Calibri" w:eastAsia="Calibri" w:hAnsi="Calibri" w:cs="Calibri"/>
          <w:sz w:val="22"/>
          <w:szCs w:val="22"/>
          <w:lang w:val="en-GB"/>
        </w:rPr>
        <w:t>European Parliament and Council Directive (EU) 2023/970 of 10 May 2023 to strengthen the application of the principle of equal pay for equal work or work of equal value between men and women through pay transparency and enforcement mechanisms [2023] OJ L132/21    </w:t>
      </w:r>
    </w:p>
    <w:p w14:paraId="75E2455A" w14:textId="77777777" w:rsidR="00B66C25" w:rsidRDefault="00B66C25" w:rsidP="002E7E3A">
      <w:pPr>
        <w:jc w:val="both"/>
        <w:rPr>
          <w:rFonts w:ascii="Calibri" w:eastAsia="Calibri" w:hAnsi="Calibri" w:cs="Calibri"/>
          <w:sz w:val="22"/>
          <w:szCs w:val="22"/>
          <w:lang w:val="en-GB"/>
        </w:rPr>
      </w:pPr>
    </w:p>
    <w:p w14:paraId="759BB011" w14:textId="4399B000" w:rsidR="00B66C25" w:rsidRPr="00B66C25" w:rsidRDefault="00B66C25" w:rsidP="00B66C25">
      <w:pPr>
        <w:jc w:val="both"/>
        <w:rPr>
          <w:rFonts w:ascii="Calibri" w:eastAsia="Calibri" w:hAnsi="Calibri" w:cs="Calibri"/>
          <w:sz w:val="22"/>
          <w:szCs w:val="22"/>
          <w:lang w:val="en-GB"/>
        </w:rPr>
      </w:pPr>
      <w:r w:rsidRPr="00B66C25">
        <w:rPr>
          <w:rFonts w:ascii="Calibri" w:eastAsia="Calibri" w:hAnsi="Calibri" w:cs="Calibri"/>
          <w:sz w:val="22"/>
          <w:szCs w:val="22"/>
          <w:lang w:val="en-GB"/>
        </w:rPr>
        <w:t>European Parliament and Council Directive 2006/54/EC of 5 July 2006 on the implementation of the principle of equal opportunities and equal treatment of men and women in matters of employment and occupation (recast) [2006] OJ L204/23</w:t>
      </w:r>
    </w:p>
    <w:p w14:paraId="02745EAF" w14:textId="77777777" w:rsidR="00B66C25" w:rsidRDefault="00B66C25" w:rsidP="00B66C25">
      <w:pPr>
        <w:jc w:val="both"/>
        <w:rPr>
          <w:rFonts w:ascii="Calibri" w:eastAsia="Calibri" w:hAnsi="Calibri" w:cs="Calibri"/>
          <w:sz w:val="22"/>
          <w:szCs w:val="22"/>
          <w:vertAlign w:val="superscript"/>
          <w:lang w:val="en-GB"/>
        </w:rPr>
      </w:pPr>
    </w:p>
    <w:p w14:paraId="70BE800C" w14:textId="31D98FF4" w:rsidR="00B66C25" w:rsidRPr="00B66C25" w:rsidRDefault="00B66C25" w:rsidP="00B66C25">
      <w:pPr>
        <w:jc w:val="both"/>
        <w:rPr>
          <w:rFonts w:ascii="Calibri" w:eastAsia="Calibri" w:hAnsi="Calibri" w:cs="Calibri"/>
          <w:sz w:val="22"/>
          <w:szCs w:val="22"/>
          <w:lang w:val="en-GB"/>
        </w:rPr>
      </w:pPr>
      <w:r w:rsidRPr="00B66C25">
        <w:rPr>
          <w:rFonts w:ascii="Calibri" w:eastAsia="Calibri" w:hAnsi="Calibri" w:cs="Calibri"/>
          <w:sz w:val="22"/>
          <w:szCs w:val="22"/>
          <w:lang w:val="en-GB"/>
        </w:rPr>
        <w:t>Directive (EU) 2019/1158 of the European Parliament and of the Council of 20 June 2019 on work-life balance for parents and carers and repealing Council Directive 2010/18/EU [2019] OJ L188/79</w:t>
      </w:r>
    </w:p>
    <w:p w14:paraId="5955BC3C" w14:textId="77777777" w:rsidR="00B66C25" w:rsidRDefault="00B66C25" w:rsidP="00B66C25">
      <w:pPr>
        <w:jc w:val="both"/>
        <w:rPr>
          <w:rFonts w:ascii="Calibri" w:eastAsia="Calibri" w:hAnsi="Calibri" w:cs="Calibri"/>
          <w:sz w:val="22"/>
          <w:szCs w:val="22"/>
          <w:vertAlign w:val="superscript"/>
          <w:lang w:val="en-GB"/>
        </w:rPr>
      </w:pPr>
    </w:p>
    <w:p w14:paraId="57434092" w14:textId="0F3E0515" w:rsidR="00B66C25" w:rsidRDefault="00B66C25" w:rsidP="00B66C25">
      <w:pPr>
        <w:jc w:val="both"/>
        <w:rPr>
          <w:rFonts w:ascii="Calibri" w:eastAsia="Calibri" w:hAnsi="Calibri" w:cs="Calibri"/>
          <w:sz w:val="22"/>
          <w:szCs w:val="22"/>
          <w:lang w:val="en-GB"/>
        </w:rPr>
      </w:pPr>
      <w:r w:rsidRPr="00B66C25">
        <w:rPr>
          <w:rFonts w:ascii="Calibri" w:eastAsia="Calibri" w:hAnsi="Calibri" w:cs="Calibri"/>
          <w:sz w:val="22"/>
          <w:szCs w:val="22"/>
          <w:lang w:val="en-GB"/>
        </w:rPr>
        <w:t>Directive (EU) 2022/2381 of the European Parliament and of the Council of 23 November 2022 on improving the gender balance among directors of listed companies and related measures [2022] OJ L315/44</w:t>
      </w:r>
    </w:p>
    <w:p w14:paraId="141BCE7D" w14:textId="77777777" w:rsidR="00B66C25" w:rsidRDefault="00B66C25" w:rsidP="00B66C25">
      <w:pPr>
        <w:jc w:val="both"/>
        <w:rPr>
          <w:rFonts w:ascii="Calibri" w:eastAsia="Calibri" w:hAnsi="Calibri" w:cs="Calibri"/>
          <w:sz w:val="22"/>
          <w:szCs w:val="22"/>
          <w:lang w:val="en-GB"/>
        </w:rPr>
      </w:pPr>
    </w:p>
    <w:p w14:paraId="6F352B9D" w14:textId="77777777" w:rsidR="00B66C25" w:rsidRDefault="00B66C25" w:rsidP="00B66C25">
      <w:pPr>
        <w:jc w:val="both"/>
        <w:rPr>
          <w:rFonts w:ascii="Calibri" w:eastAsia="Calibri" w:hAnsi="Calibri" w:cs="Calibri"/>
          <w:sz w:val="22"/>
          <w:szCs w:val="22"/>
          <w:lang w:val="en-GB"/>
        </w:rPr>
      </w:pPr>
      <w:r w:rsidRPr="00B66C25">
        <w:rPr>
          <w:rFonts w:ascii="Calibri" w:eastAsia="Calibri" w:hAnsi="Calibri" w:cs="Calibri"/>
          <w:sz w:val="22"/>
          <w:szCs w:val="22"/>
          <w:lang w:val="en-GB"/>
        </w:rPr>
        <w:t>Convention concerning Equal Remuneration for Men and Women Workers for Work of Equal Value (adopted 29 June 1951)</w:t>
      </w:r>
    </w:p>
    <w:p w14:paraId="73616B8B" w14:textId="77777777" w:rsidR="00B66C25" w:rsidRDefault="00B66C25" w:rsidP="00B66C25">
      <w:pPr>
        <w:jc w:val="both"/>
        <w:rPr>
          <w:rFonts w:ascii="Calibri" w:eastAsia="Calibri" w:hAnsi="Calibri" w:cs="Calibri"/>
          <w:sz w:val="22"/>
          <w:szCs w:val="22"/>
          <w:lang w:val="en-GB"/>
        </w:rPr>
      </w:pPr>
    </w:p>
    <w:p w14:paraId="292CB8AC" w14:textId="77777777" w:rsidR="00B66C25" w:rsidRDefault="00B66C25" w:rsidP="00B66C25">
      <w:pPr>
        <w:jc w:val="both"/>
        <w:rPr>
          <w:rFonts w:ascii="Calibri" w:eastAsia="Calibri" w:hAnsi="Calibri" w:cs="Calibri"/>
          <w:sz w:val="22"/>
          <w:szCs w:val="22"/>
          <w:lang w:val="en-GB"/>
        </w:rPr>
      </w:pPr>
      <w:r w:rsidRPr="00B66C25">
        <w:rPr>
          <w:rFonts w:ascii="Calibri" w:eastAsia="Calibri" w:hAnsi="Calibri" w:cs="Calibri"/>
          <w:sz w:val="22"/>
          <w:szCs w:val="22"/>
          <w:lang w:val="en-GB"/>
        </w:rPr>
        <w:t>Discrimination (Employment and Occupation) Convention (adopted 25 June 1958)</w:t>
      </w:r>
    </w:p>
    <w:p w14:paraId="542F0E28" w14:textId="77777777" w:rsidR="00B66C25" w:rsidRDefault="00B66C25" w:rsidP="00B66C25">
      <w:pPr>
        <w:jc w:val="both"/>
        <w:rPr>
          <w:rFonts w:ascii="Calibri" w:eastAsia="Calibri" w:hAnsi="Calibri" w:cs="Calibri"/>
          <w:sz w:val="22"/>
          <w:szCs w:val="22"/>
          <w:lang w:val="en-GB"/>
        </w:rPr>
      </w:pPr>
    </w:p>
    <w:p w14:paraId="735850EC" w14:textId="77777777" w:rsidR="00B66C25" w:rsidRDefault="00B66C25" w:rsidP="00B66C25">
      <w:pPr>
        <w:jc w:val="both"/>
        <w:rPr>
          <w:rFonts w:ascii="Calibri" w:eastAsia="Calibri" w:hAnsi="Calibri" w:cs="Calibri"/>
          <w:sz w:val="22"/>
          <w:szCs w:val="22"/>
          <w:lang w:val="en-GB"/>
        </w:rPr>
      </w:pPr>
      <w:r w:rsidRPr="00B66C25">
        <w:rPr>
          <w:rFonts w:ascii="Calibri" w:eastAsia="Calibri" w:hAnsi="Calibri" w:cs="Calibri"/>
          <w:sz w:val="22"/>
          <w:szCs w:val="22"/>
          <w:lang w:val="en-GB"/>
        </w:rPr>
        <w:t>Universal Declaration of Human Rights (ratified 10 December 1948), art. 23</w:t>
      </w:r>
    </w:p>
    <w:p w14:paraId="1B36F61D" w14:textId="77777777" w:rsidR="00B66C25" w:rsidRDefault="00B66C25" w:rsidP="00B66C25">
      <w:pPr>
        <w:jc w:val="both"/>
        <w:rPr>
          <w:rFonts w:ascii="Calibri" w:eastAsia="Calibri" w:hAnsi="Calibri" w:cs="Calibri"/>
          <w:sz w:val="22"/>
          <w:szCs w:val="22"/>
          <w:lang w:val="en-GB"/>
        </w:rPr>
      </w:pPr>
    </w:p>
    <w:p w14:paraId="5B4C0C57" w14:textId="77777777" w:rsidR="00D97FBA" w:rsidRDefault="00B66C25" w:rsidP="00B66C25">
      <w:pPr>
        <w:jc w:val="both"/>
        <w:rPr>
          <w:rFonts w:ascii="Calibri" w:eastAsia="Calibri" w:hAnsi="Calibri" w:cs="Calibri"/>
          <w:sz w:val="22"/>
          <w:szCs w:val="22"/>
          <w:lang w:val="en-GB"/>
        </w:rPr>
      </w:pPr>
      <w:r w:rsidRPr="00B66C25">
        <w:rPr>
          <w:rFonts w:ascii="Calibri" w:eastAsia="Calibri" w:hAnsi="Calibri" w:cs="Calibri"/>
          <w:sz w:val="22"/>
          <w:szCs w:val="22"/>
          <w:lang w:val="en-GB"/>
        </w:rPr>
        <w:t>Convention on the Elimination of All Forms of Discrimination against Women (adopted 18 December 1979) art 11(d)</w:t>
      </w:r>
    </w:p>
    <w:p w14:paraId="16E7BAA0" w14:textId="77777777" w:rsidR="00D97FBA" w:rsidRDefault="00D97FBA" w:rsidP="00B66C25">
      <w:pPr>
        <w:jc w:val="both"/>
        <w:rPr>
          <w:rFonts w:ascii="Calibri" w:eastAsia="Calibri" w:hAnsi="Calibri" w:cs="Calibri"/>
          <w:sz w:val="22"/>
          <w:szCs w:val="22"/>
          <w:lang w:val="en-GB"/>
        </w:rPr>
      </w:pPr>
    </w:p>
    <w:p w14:paraId="741E06EA" w14:textId="2E118898" w:rsidR="00B66C25" w:rsidRPr="00B66C25" w:rsidRDefault="00B66C25" w:rsidP="00B66C25">
      <w:pPr>
        <w:jc w:val="both"/>
        <w:rPr>
          <w:rFonts w:ascii="Calibri" w:eastAsia="Calibri" w:hAnsi="Calibri" w:cs="Calibri"/>
          <w:sz w:val="22"/>
          <w:szCs w:val="22"/>
          <w:lang w:val="en-GB"/>
        </w:rPr>
      </w:pPr>
      <w:r w:rsidRPr="00B66C25">
        <w:rPr>
          <w:rFonts w:ascii="Calibri" w:eastAsia="Calibri" w:hAnsi="Calibri" w:cs="Calibri"/>
          <w:sz w:val="22"/>
          <w:szCs w:val="22"/>
          <w:lang w:val="en-GB"/>
        </w:rPr>
        <w:t xml:space="preserve">Charter of Fundamental Rights of the European </w:t>
      </w:r>
      <w:r w:rsidR="00D97FBA" w:rsidRPr="00B66C25">
        <w:rPr>
          <w:rFonts w:ascii="Calibri" w:eastAsia="Calibri" w:hAnsi="Calibri" w:cs="Calibri"/>
          <w:sz w:val="22"/>
          <w:szCs w:val="22"/>
          <w:lang w:val="en-GB"/>
        </w:rPr>
        <w:t>Union 2012</w:t>
      </w:r>
      <w:r w:rsidRPr="00B66C25">
        <w:rPr>
          <w:rFonts w:ascii="Calibri" w:eastAsia="Calibri" w:hAnsi="Calibri" w:cs="Calibri"/>
          <w:sz w:val="22"/>
          <w:szCs w:val="22"/>
          <w:lang w:val="en-GB"/>
        </w:rPr>
        <w:t>/C [2012] OJ C326/391</w:t>
      </w:r>
    </w:p>
    <w:p w14:paraId="008F1BB2" w14:textId="77777777" w:rsidR="001D6633" w:rsidRDefault="001D6633" w:rsidP="002E7E3A">
      <w:pPr>
        <w:jc w:val="both"/>
        <w:rPr>
          <w:rFonts w:ascii="Calibri" w:eastAsia="Calibri" w:hAnsi="Calibri" w:cs="Calibri"/>
          <w:sz w:val="22"/>
          <w:szCs w:val="22"/>
          <w:lang w:val="en-GB"/>
        </w:rPr>
      </w:pPr>
    </w:p>
    <w:p w14:paraId="01A1C8D5" w14:textId="03AC358D" w:rsidR="002E7E3A" w:rsidRPr="002E7E3A" w:rsidRDefault="002E7E3A" w:rsidP="002E7E3A">
      <w:pPr>
        <w:jc w:val="both"/>
        <w:rPr>
          <w:rFonts w:ascii="Calibri" w:eastAsia="Calibri" w:hAnsi="Calibri" w:cs="Calibri"/>
          <w:sz w:val="22"/>
          <w:szCs w:val="22"/>
          <w:lang w:val="en-GB"/>
        </w:rPr>
      </w:pPr>
      <w:r w:rsidRPr="002E7E3A">
        <w:rPr>
          <w:rFonts w:ascii="Calibri" w:eastAsia="Calibri" w:hAnsi="Calibri" w:cs="Calibri"/>
          <w:color w:val="000000"/>
          <w:sz w:val="22"/>
          <w:szCs w:val="22"/>
          <w:lang w:val="en-GB"/>
        </w:rPr>
        <w:t xml:space="preserve">Employment Equity </w:t>
      </w:r>
      <w:r w:rsidRPr="002E7E3A">
        <w:rPr>
          <w:rFonts w:ascii="Calibri" w:eastAsia="Calibri" w:hAnsi="Calibri" w:cs="Calibri"/>
          <w:sz w:val="22"/>
          <w:szCs w:val="22"/>
          <w:lang w:val="en-GB"/>
        </w:rPr>
        <w:t>Regulations 2014</w:t>
      </w:r>
      <w:r>
        <w:rPr>
          <w:rFonts w:ascii="Calibri" w:eastAsia="Calibri" w:hAnsi="Calibri" w:cs="Calibri"/>
          <w:sz w:val="22"/>
          <w:szCs w:val="22"/>
          <w:lang w:val="en-GB"/>
        </w:rPr>
        <w:t xml:space="preserve"> (SA)</w:t>
      </w:r>
    </w:p>
    <w:p w14:paraId="4DFDAB05" w14:textId="77777777" w:rsidR="002E7E3A" w:rsidRPr="002E7E3A" w:rsidRDefault="002E7E3A" w:rsidP="002E7E3A">
      <w:pPr>
        <w:jc w:val="both"/>
        <w:rPr>
          <w:rFonts w:ascii="Calibri" w:eastAsia="Calibri" w:hAnsi="Calibri" w:cs="Calibri"/>
          <w:sz w:val="22"/>
          <w:szCs w:val="22"/>
          <w:lang w:val="en-GB"/>
        </w:rPr>
      </w:pPr>
    </w:p>
    <w:p w14:paraId="1232D17B" w14:textId="77777777" w:rsidR="002E7E3A" w:rsidRDefault="002E7E3A" w:rsidP="002E7E3A">
      <w:pPr>
        <w:jc w:val="both"/>
        <w:rPr>
          <w:rFonts w:ascii="Calibri" w:eastAsia="Calibri" w:hAnsi="Calibri" w:cs="Calibri"/>
          <w:sz w:val="22"/>
          <w:szCs w:val="22"/>
          <w:lang w:val="en-GB"/>
        </w:rPr>
      </w:pPr>
      <w:r w:rsidRPr="002E7E3A">
        <w:rPr>
          <w:rFonts w:ascii="Calibri" w:eastAsia="Calibri" w:hAnsi="Calibri" w:cs="Calibri"/>
          <w:sz w:val="22"/>
          <w:szCs w:val="22"/>
          <w:lang w:val="en-GB"/>
        </w:rPr>
        <w:t xml:space="preserve">Labour Relations Act 1995 (SA) </w:t>
      </w:r>
    </w:p>
    <w:p w14:paraId="68E4D3E3" w14:textId="77777777" w:rsidR="002E7E3A" w:rsidRPr="002E7E3A" w:rsidRDefault="002E7E3A" w:rsidP="002E7E3A">
      <w:pPr>
        <w:jc w:val="both"/>
        <w:rPr>
          <w:rFonts w:ascii="Calibri" w:eastAsia="Calibri" w:hAnsi="Calibri" w:cs="Calibri"/>
          <w:sz w:val="22"/>
          <w:szCs w:val="22"/>
          <w:lang w:val="en-GB"/>
        </w:rPr>
      </w:pPr>
    </w:p>
    <w:p w14:paraId="429B2736" w14:textId="7EAD61B1" w:rsidR="002E7E3A" w:rsidRDefault="002E7E3A" w:rsidP="002E7E3A">
      <w:pPr>
        <w:jc w:val="both"/>
        <w:rPr>
          <w:rFonts w:ascii="Calibri" w:eastAsia="Calibri" w:hAnsi="Calibri" w:cs="Calibri"/>
          <w:sz w:val="22"/>
          <w:szCs w:val="22"/>
          <w:lang w:val="en-GB"/>
        </w:rPr>
      </w:pPr>
      <w:r w:rsidRPr="002E7E3A">
        <w:rPr>
          <w:rFonts w:ascii="Calibri" w:eastAsia="Calibri" w:hAnsi="Calibri" w:cs="Calibri"/>
          <w:sz w:val="22"/>
          <w:szCs w:val="22"/>
          <w:lang w:val="en-GB"/>
        </w:rPr>
        <w:t>Labour Relations Act amendments of 2015 (SA)</w:t>
      </w:r>
    </w:p>
    <w:p w14:paraId="2CA5A36B" w14:textId="77777777" w:rsidR="002E7E3A" w:rsidRPr="002E7E3A" w:rsidRDefault="002E7E3A" w:rsidP="002E7E3A">
      <w:pPr>
        <w:jc w:val="both"/>
        <w:rPr>
          <w:rFonts w:ascii="Calibri" w:eastAsia="Calibri" w:hAnsi="Calibri" w:cs="Calibri"/>
          <w:sz w:val="22"/>
          <w:szCs w:val="22"/>
          <w:lang w:val="en-GB"/>
        </w:rPr>
      </w:pPr>
    </w:p>
    <w:p w14:paraId="553C200D" w14:textId="5C89B7AA" w:rsidR="002E7E3A" w:rsidRDefault="002E7E3A" w:rsidP="002E7E3A">
      <w:pPr>
        <w:jc w:val="both"/>
        <w:rPr>
          <w:rFonts w:ascii="Calibri" w:eastAsia="Calibri" w:hAnsi="Calibri" w:cs="Calibri"/>
          <w:sz w:val="22"/>
          <w:szCs w:val="22"/>
          <w:lang w:val="en-GB"/>
        </w:rPr>
      </w:pPr>
      <w:r w:rsidRPr="002E7E3A">
        <w:rPr>
          <w:rFonts w:ascii="Calibri" w:eastAsia="Calibri" w:hAnsi="Calibri" w:cs="Calibri"/>
          <w:sz w:val="22"/>
          <w:szCs w:val="22"/>
          <w:lang w:val="en-GB"/>
        </w:rPr>
        <w:t>Skill Development Act 1998 (SA)</w:t>
      </w:r>
    </w:p>
    <w:p w14:paraId="2F7710BE" w14:textId="77777777" w:rsidR="002E7E3A" w:rsidRPr="002E7E3A" w:rsidRDefault="002E7E3A" w:rsidP="002E7E3A">
      <w:pPr>
        <w:jc w:val="both"/>
        <w:rPr>
          <w:rFonts w:ascii="Calibri" w:eastAsia="Calibri" w:hAnsi="Calibri" w:cs="Calibri"/>
          <w:sz w:val="22"/>
          <w:szCs w:val="22"/>
          <w:lang w:val="en-GB"/>
        </w:rPr>
      </w:pPr>
    </w:p>
    <w:p w14:paraId="7EA67FF7" w14:textId="2A57D20C" w:rsidR="002E7E3A" w:rsidRDefault="002E7E3A" w:rsidP="002E7E3A">
      <w:pPr>
        <w:jc w:val="both"/>
        <w:rPr>
          <w:rFonts w:ascii="Calibri" w:eastAsia="Calibri" w:hAnsi="Calibri" w:cs="Calibri"/>
          <w:sz w:val="22"/>
          <w:szCs w:val="22"/>
          <w:lang w:val="en-GB"/>
        </w:rPr>
      </w:pPr>
      <w:r w:rsidRPr="002E7E3A">
        <w:rPr>
          <w:rFonts w:ascii="Calibri" w:eastAsia="Calibri" w:hAnsi="Calibri" w:cs="Calibri"/>
          <w:sz w:val="22"/>
          <w:szCs w:val="22"/>
          <w:lang w:val="en-GB"/>
        </w:rPr>
        <w:t>Basic Conditions of Employment Act 1997 (SA)</w:t>
      </w:r>
    </w:p>
    <w:p w14:paraId="35CDD3C9" w14:textId="77777777" w:rsidR="002E7E3A" w:rsidRPr="002E7E3A" w:rsidRDefault="002E7E3A" w:rsidP="002E7E3A">
      <w:pPr>
        <w:jc w:val="both"/>
        <w:rPr>
          <w:rFonts w:ascii="Calibri" w:eastAsia="Calibri" w:hAnsi="Calibri" w:cs="Calibri"/>
          <w:sz w:val="22"/>
          <w:szCs w:val="22"/>
          <w:lang w:val="en-GB"/>
        </w:rPr>
      </w:pPr>
    </w:p>
    <w:p w14:paraId="56231590" w14:textId="2061364B" w:rsidR="002E7E3A" w:rsidRDefault="002E7E3A" w:rsidP="002E7E3A">
      <w:pPr>
        <w:jc w:val="both"/>
        <w:rPr>
          <w:rFonts w:ascii="Calibri" w:eastAsia="Calibri" w:hAnsi="Calibri" w:cs="Calibri"/>
          <w:sz w:val="22"/>
          <w:szCs w:val="22"/>
          <w:lang w:val="en-GB"/>
        </w:rPr>
      </w:pPr>
      <w:r w:rsidRPr="002E7E3A">
        <w:rPr>
          <w:rFonts w:ascii="Calibri" w:eastAsia="Calibri" w:hAnsi="Calibri" w:cs="Calibri"/>
          <w:sz w:val="22"/>
          <w:szCs w:val="22"/>
          <w:lang w:val="en-GB"/>
        </w:rPr>
        <w:t>Promotion of Equality and Prevention of Unfair Discrimination Act (PEPUDA) 4 of 2000 (SA)</w:t>
      </w:r>
    </w:p>
    <w:p w14:paraId="108C5B08" w14:textId="77777777" w:rsidR="002E7E3A" w:rsidRDefault="002E7E3A" w:rsidP="002E7E3A">
      <w:pPr>
        <w:jc w:val="both"/>
        <w:rPr>
          <w:rFonts w:ascii="Calibri" w:eastAsia="Calibri" w:hAnsi="Calibri" w:cs="Calibri"/>
          <w:sz w:val="22"/>
          <w:szCs w:val="22"/>
          <w:lang w:val="en-GB"/>
        </w:rPr>
      </w:pPr>
    </w:p>
    <w:p w14:paraId="58E6BE89" w14:textId="3675A8FE" w:rsidR="002E7E3A" w:rsidRDefault="002E7E3A" w:rsidP="002E7E3A">
      <w:pPr>
        <w:jc w:val="both"/>
        <w:rPr>
          <w:rFonts w:ascii="Calibri" w:eastAsia="Calibri" w:hAnsi="Calibri" w:cs="Calibri"/>
          <w:sz w:val="22"/>
          <w:szCs w:val="22"/>
          <w:lang w:val="en-GB"/>
        </w:rPr>
      </w:pPr>
      <w:r w:rsidRPr="002E7E3A">
        <w:rPr>
          <w:rFonts w:ascii="Calibri" w:eastAsia="Calibri" w:hAnsi="Calibri" w:cs="Calibri"/>
          <w:sz w:val="22"/>
          <w:szCs w:val="22"/>
          <w:lang w:val="en-GB"/>
        </w:rPr>
        <w:t>Employment Equity Act 55 of 1998</w:t>
      </w:r>
      <w:r w:rsidR="00602F05">
        <w:rPr>
          <w:rFonts w:ascii="Calibri" w:eastAsia="Calibri" w:hAnsi="Calibri" w:cs="Calibri"/>
          <w:sz w:val="22"/>
          <w:szCs w:val="22"/>
          <w:lang w:val="en-GB"/>
        </w:rPr>
        <w:t xml:space="preserve"> (SA)</w:t>
      </w:r>
    </w:p>
    <w:p w14:paraId="5538308A" w14:textId="77777777" w:rsidR="002E7E3A" w:rsidRDefault="002E7E3A" w:rsidP="002E7E3A">
      <w:pPr>
        <w:jc w:val="both"/>
        <w:rPr>
          <w:rFonts w:ascii="Calibri" w:eastAsia="Calibri" w:hAnsi="Calibri" w:cs="Calibri"/>
          <w:sz w:val="22"/>
          <w:szCs w:val="22"/>
          <w:lang w:val="en-GB"/>
        </w:rPr>
      </w:pPr>
    </w:p>
    <w:p w14:paraId="057FD64E" w14:textId="5230E37A" w:rsidR="002E7E3A" w:rsidRDefault="002E7E3A" w:rsidP="002E7E3A">
      <w:pPr>
        <w:jc w:val="both"/>
        <w:rPr>
          <w:rFonts w:ascii="Calibri" w:eastAsia="Calibri" w:hAnsi="Calibri" w:cs="Calibri"/>
          <w:sz w:val="22"/>
          <w:szCs w:val="22"/>
          <w:lang w:val="en-GB"/>
        </w:rPr>
      </w:pPr>
      <w:r w:rsidRPr="002E7E3A">
        <w:rPr>
          <w:rFonts w:ascii="Calibri" w:eastAsia="Calibri" w:hAnsi="Calibri" w:cs="Calibri"/>
          <w:sz w:val="22"/>
          <w:szCs w:val="22"/>
          <w:lang w:val="en-GB"/>
        </w:rPr>
        <w:t>Employment Equity Amendment Act 47 of 2013</w:t>
      </w:r>
      <w:r w:rsidR="00602F05">
        <w:rPr>
          <w:rFonts w:ascii="Calibri" w:eastAsia="Calibri" w:hAnsi="Calibri" w:cs="Calibri"/>
          <w:sz w:val="22"/>
          <w:szCs w:val="22"/>
          <w:lang w:val="en-GB"/>
        </w:rPr>
        <w:t xml:space="preserve"> (SA)</w:t>
      </w:r>
    </w:p>
    <w:p w14:paraId="0EBFD4AD" w14:textId="77777777" w:rsidR="001D6633" w:rsidRDefault="001D6633" w:rsidP="002E7E3A">
      <w:pPr>
        <w:jc w:val="both"/>
        <w:rPr>
          <w:rFonts w:ascii="Calibri" w:eastAsia="Calibri" w:hAnsi="Calibri" w:cs="Calibri"/>
          <w:sz w:val="22"/>
          <w:szCs w:val="22"/>
          <w:lang w:val="en-GB"/>
        </w:rPr>
      </w:pPr>
    </w:p>
    <w:p w14:paraId="12BC9481" w14:textId="23C6A9B2" w:rsidR="001D6633" w:rsidRPr="002E7E3A" w:rsidRDefault="001D6633" w:rsidP="001D6633">
      <w:pPr>
        <w:spacing w:line="360" w:lineRule="auto"/>
        <w:jc w:val="both"/>
        <w:rPr>
          <w:rFonts w:ascii="Calibri" w:eastAsia="Calibri" w:hAnsi="Calibri" w:cs="Calibri"/>
          <w:sz w:val="22"/>
          <w:szCs w:val="22"/>
          <w:lang w:val="en-GB"/>
        </w:rPr>
      </w:pPr>
      <w:r w:rsidRPr="002E7E3A">
        <w:rPr>
          <w:rFonts w:ascii="Calibri" w:eastAsia="Calibri" w:hAnsi="Calibri" w:cs="Calibri"/>
          <w:sz w:val="22"/>
          <w:szCs w:val="22"/>
          <w:lang w:val="en-GB"/>
        </w:rPr>
        <w:t>Code of Good Practice on Equal Pay/Remuneration for Work of Equal Value 2015 (SA)</w:t>
      </w:r>
    </w:p>
    <w:p w14:paraId="4F7431D9" w14:textId="77777777" w:rsidR="002E7E3A" w:rsidRPr="002E7E3A" w:rsidRDefault="002E7E3A" w:rsidP="00BD71B7">
      <w:pPr>
        <w:jc w:val="both"/>
        <w:rPr>
          <w:rFonts w:ascii="Calibri" w:eastAsia="Calibri" w:hAnsi="Calibri" w:cs="Calibri"/>
          <w:b/>
          <w:bCs/>
          <w:sz w:val="22"/>
          <w:szCs w:val="22"/>
          <w:lang w:val="en-GB"/>
        </w:rPr>
      </w:pPr>
    </w:p>
    <w:p w14:paraId="425F26FC" w14:textId="37A93A22" w:rsidR="00BD71B7" w:rsidRPr="002E7E3A" w:rsidRDefault="002E7E3A" w:rsidP="00BD71B7">
      <w:pPr>
        <w:jc w:val="both"/>
        <w:rPr>
          <w:rFonts w:ascii="Calibri" w:eastAsia="Calibri" w:hAnsi="Calibri" w:cs="Calibri"/>
          <w:b/>
          <w:bCs/>
          <w:sz w:val="22"/>
          <w:szCs w:val="22"/>
          <w:lang w:val="en-GB"/>
        </w:rPr>
      </w:pPr>
      <w:r w:rsidRPr="002E7E3A">
        <w:rPr>
          <w:rFonts w:ascii="Calibri" w:eastAsia="Calibri" w:hAnsi="Calibri" w:cs="Calibri"/>
          <w:b/>
          <w:bCs/>
          <w:sz w:val="22"/>
          <w:szCs w:val="22"/>
          <w:lang w:val="en-GB"/>
        </w:rPr>
        <w:t>Secondary Sources:</w:t>
      </w:r>
    </w:p>
    <w:p w14:paraId="57677460" w14:textId="77777777" w:rsidR="00BD71B7" w:rsidRDefault="00BD71B7" w:rsidP="00BD71B7">
      <w:pPr>
        <w:jc w:val="both"/>
        <w:rPr>
          <w:rFonts w:ascii="Calibri" w:eastAsia="Calibri" w:hAnsi="Calibri" w:cs="Calibri"/>
          <w:color w:val="000000"/>
          <w:sz w:val="22"/>
          <w:szCs w:val="22"/>
        </w:rPr>
      </w:pPr>
    </w:p>
    <w:p w14:paraId="21A6FC8D" w14:textId="77777777" w:rsidR="00E36EC1" w:rsidRDefault="00E36EC1" w:rsidP="00E36EC1">
      <w:pPr>
        <w:rPr>
          <w:rFonts w:ascii="Calibri" w:eastAsia="Calibri" w:hAnsi="Calibri" w:cs="Calibri"/>
          <w:sz w:val="22"/>
          <w:szCs w:val="22"/>
          <w:lang w:val="en-GB"/>
        </w:rPr>
      </w:pPr>
      <w:r w:rsidRPr="00D17768">
        <w:rPr>
          <w:rFonts w:ascii="Calibri" w:eastAsia="Calibri" w:hAnsi="Calibri" w:cs="Calibri"/>
          <w:sz w:val="22"/>
          <w:szCs w:val="22"/>
          <w:lang w:val="en-GB"/>
        </w:rPr>
        <w:t>Alarakhia</w:t>
      </w:r>
      <w:r>
        <w:rPr>
          <w:rFonts w:ascii="Calibri" w:eastAsia="Calibri" w:hAnsi="Calibri" w:cs="Calibri"/>
          <w:sz w:val="22"/>
          <w:szCs w:val="22"/>
          <w:lang w:val="en-GB"/>
        </w:rPr>
        <w:t xml:space="preserve"> M.</w:t>
      </w:r>
      <w:r w:rsidRPr="00D17768">
        <w:rPr>
          <w:rFonts w:ascii="Calibri" w:eastAsia="Calibri" w:hAnsi="Calibri" w:cs="Calibri"/>
          <w:sz w:val="22"/>
          <w:szCs w:val="22"/>
          <w:lang w:val="en-GB"/>
        </w:rPr>
        <w:t>, Petreski</w:t>
      </w:r>
      <w:r>
        <w:rPr>
          <w:rFonts w:ascii="Calibri" w:eastAsia="Calibri" w:hAnsi="Calibri" w:cs="Calibri"/>
          <w:sz w:val="22"/>
          <w:szCs w:val="22"/>
          <w:lang w:val="en-GB"/>
        </w:rPr>
        <w:t xml:space="preserve"> M.</w:t>
      </w:r>
      <w:r w:rsidRPr="00D17768">
        <w:rPr>
          <w:rFonts w:ascii="Calibri" w:eastAsia="Calibri" w:hAnsi="Calibri" w:cs="Calibri"/>
          <w:sz w:val="22"/>
          <w:szCs w:val="22"/>
          <w:lang w:val="en-GB"/>
        </w:rPr>
        <w:t>, Sheikh Ahmed</w:t>
      </w:r>
      <w:r>
        <w:rPr>
          <w:rFonts w:ascii="Calibri" w:eastAsia="Calibri" w:hAnsi="Calibri" w:cs="Calibri"/>
          <w:sz w:val="22"/>
          <w:szCs w:val="22"/>
          <w:lang w:val="en-GB"/>
        </w:rPr>
        <w:t xml:space="preserve"> Z.,</w:t>
      </w:r>
      <w:r w:rsidRPr="00D17768">
        <w:rPr>
          <w:rFonts w:ascii="Calibri" w:eastAsia="Calibri" w:hAnsi="Calibri" w:cs="Calibri"/>
          <w:sz w:val="22"/>
          <w:szCs w:val="22"/>
          <w:lang w:val="en-GB"/>
        </w:rPr>
        <w:t xml:space="preserve"> and Tanima</w:t>
      </w:r>
      <w:r>
        <w:rPr>
          <w:rFonts w:ascii="Calibri" w:eastAsia="Calibri" w:hAnsi="Calibri" w:cs="Calibri"/>
          <w:sz w:val="22"/>
          <w:szCs w:val="22"/>
          <w:lang w:val="en-GB"/>
        </w:rPr>
        <w:t xml:space="preserve"> T.</w:t>
      </w:r>
      <w:r w:rsidRPr="00D17768">
        <w:rPr>
          <w:rFonts w:ascii="Calibri" w:eastAsia="Calibri" w:hAnsi="Calibri" w:cs="Calibri"/>
          <w:sz w:val="22"/>
          <w:szCs w:val="22"/>
          <w:lang w:val="en-GB"/>
        </w:rPr>
        <w:t xml:space="preserve">, </w:t>
      </w:r>
      <w:r w:rsidRPr="00D17768">
        <w:rPr>
          <w:rFonts w:ascii="Calibri" w:eastAsia="Calibri" w:hAnsi="Calibri" w:cs="Calibri"/>
          <w:i/>
          <w:sz w:val="22"/>
          <w:szCs w:val="22"/>
          <w:lang w:val="en-GB"/>
        </w:rPr>
        <w:t>Why Women Earn Less Gender Pay Gap And Labour-Market Inequalities In South Africa</w:t>
      </w:r>
      <w:r w:rsidRPr="00D17768">
        <w:rPr>
          <w:rFonts w:ascii="Calibri" w:eastAsia="Calibri" w:hAnsi="Calibri" w:cs="Calibri"/>
          <w:sz w:val="22"/>
          <w:szCs w:val="22"/>
          <w:lang w:val="en-GB"/>
        </w:rPr>
        <w:t xml:space="preserve"> (UN Women East and Southern Africa Regional Office 2023) 12</w:t>
      </w:r>
    </w:p>
    <w:p w14:paraId="35D4D065" w14:textId="77777777" w:rsidR="00E36EC1" w:rsidRDefault="00E36EC1" w:rsidP="000246C1">
      <w:pPr>
        <w:rPr>
          <w:rFonts w:ascii="Calibri" w:eastAsia="Calibri" w:hAnsi="Calibri" w:cs="Calibri"/>
          <w:sz w:val="22"/>
          <w:szCs w:val="22"/>
          <w:lang w:val="en-GB"/>
        </w:rPr>
      </w:pPr>
    </w:p>
    <w:p w14:paraId="05EC6BC0" w14:textId="1E336C77" w:rsidR="000246C1" w:rsidRDefault="000246C1" w:rsidP="000246C1">
      <w:pPr>
        <w:rPr>
          <w:rFonts w:ascii="Calibri" w:eastAsia="Calibri" w:hAnsi="Calibri" w:cs="Calibri"/>
          <w:sz w:val="22"/>
          <w:szCs w:val="22"/>
          <w:lang w:val="en-GB"/>
        </w:rPr>
      </w:pPr>
      <w:r w:rsidRPr="00EA2029">
        <w:rPr>
          <w:rFonts w:ascii="Calibri" w:eastAsia="Calibri" w:hAnsi="Calibri" w:cs="Calibri"/>
          <w:sz w:val="22"/>
          <w:szCs w:val="22"/>
          <w:lang w:val="en-GB"/>
        </w:rPr>
        <w:t>Alkadry</w:t>
      </w:r>
      <w:r>
        <w:rPr>
          <w:rFonts w:ascii="Calibri" w:eastAsia="Calibri" w:hAnsi="Calibri" w:cs="Calibri"/>
          <w:sz w:val="22"/>
          <w:szCs w:val="22"/>
          <w:lang w:val="en-GB"/>
        </w:rPr>
        <w:t xml:space="preserve"> M.G,</w:t>
      </w:r>
      <w:r w:rsidRPr="00EA2029">
        <w:rPr>
          <w:rFonts w:ascii="Calibri" w:eastAsia="Calibri" w:hAnsi="Calibri" w:cs="Calibri"/>
          <w:sz w:val="22"/>
          <w:szCs w:val="22"/>
          <w:lang w:val="en-GB"/>
        </w:rPr>
        <w:t xml:space="preserve"> and Tower</w:t>
      </w:r>
      <w:r>
        <w:rPr>
          <w:rFonts w:ascii="Calibri" w:eastAsia="Calibri" w:hAnsi="Calibri" w:cs="Calibri"/>
          <w:sz w:val="22"/>
          <w:szCs w:val="22"/>
          <w:lang w:val="en-GB"/>
        </w:rPr>
        <w:t xml:space="preserve"> L.E.</w:t>
      </w:r>
      <w:r w:rsidRPr="00EA2029">
        <w:rPr>
          <w:rFonts w:ascii="Calibri" w:eastAsia="Calibri" w:hAnsi="Calibri" w:cs="Calibri"/>
          <w:sz w:val="22"/>
          <w:szCs w:val="22"/>
          <w:lang w:val="en-GB"/>
        </w:rPr>
        <w:t>, ‘Unequal Pay: The Role of Gender’ (2006) 66:6 Public Administration Review 888</w:t>
      </w:r>
    </w:p>
    <w:p w14:paraId="008C9A22" w14:textId="77777777" w:rsidR="00E36EC1" w:rsidRDefault="00E36EC1" w:rsidP="00E36EC1">
      <w:pPr>
        <w:rPr>
          <w:rFonts w:ascii="Calibri" w:eastAsia="Calibri" w:hAnsi="Calibri" w:cs="Calibri"/>
          <w:sz w:val="22"/>
          <w:szCs w:val="22"/>
          <w:lang w:val="en-GB"/>
        </w:rPr>
      </w:pPr>
    </w:p>
    <w:p w14:paraId="496C7933" w14:textId="35B70CE1" w:rsidR="00E36EC1" w:rsidRDefault="00E36EC1" w:rsidP="000246C1">
      <w:pPr>
        <w:rPr>
          <w:rFonts w:ascii="Calibri" w:eastAsia="Calibri" w:hAnsi="Calibri" w:cs="Calibri"/>
          <w:sz w:val="22"/>
          <w:szCs w:val="22"/>
          <w:lang w:val="en-GB"/>
        </w:rPr>
      </w:pPr>
      <w:r w:rsidRPr="00D17768">
        <w:rPr>
          <w:rFonts w:ascii="Calibri" w:eastAsia="Calibri" w:hAnsi="Calibri" w:cs="Calibri"/>
          <w:sz w:val="22"/>
          <w:szCs w:val="22"/>
          <w:lang w:val="en-GB"/>
        </w:rPr>
        <w:t>Amado</w:t>
      </w:r>
      <w:r>
        <w:rPr>
          <w:rFonts w:ascii="Calibri" w:eastAsia="Calibri" w:hAnsi="Calibri" w:cs="Calibri"/>
          <w:sz w:val="22"/>
          <w:szCs w:val="22"/>
          <w:lang w:val="en-GB"/>
        </w:rPr>
        <w:t xml:space="preserve"> C.</w:t>
      </w:r>
      <w:r w:rsidRPr="00D17768">
        <w:rPr>
          <w:rFonts w:ascii="Calibri" w:eastAsia="Calibri" w:hAnsi="Calibri" w:cs="Calibri"/>
          <w:sz w:val="22"/>
          <w:szCs w:val="22"/>
          <w:lang w:val="en-GB"/>
        </w:rPr>
        <w:t xml:space="preserve">A.F., Santos </w:t>
      </w:r>
      <w:r>
        <w:rPr>
          <w:rFonts w:ascii="Calibri" w:eastAsia="Calibri" w:hAnsi="Calibri" w:cs="Calibri"/>
          <w:sz w:val="22"/>
          <w:szCs w:val="22"/>
          <w:lang w:val="en-GB"/>
        </w:rPr>
        <w:t xml:space="preserve">S.P., </w:t>
      </w:r>
      <w:r w:rsidRPr="00D17768">
        <w:rPr>
          <w:rFonts w:ascii="Calibri" w:eastAsia="Calibri" w:hAnsi="Calibri" w:cs="Calibri"/>
          <w:sz w:val="22"/>
          <w:szCs w:val="22"/>
          <w:lang w:val="en-GB"/>
        </w:rPr>
        <w:t>and São Joséa</w:t>
      </w:r>
      <w:r>
        <w:rPr>
          <w:rFonts w:ascii="Calibri" w:eastAsia="Calibri" w:hAnsi="Calibri" w:cs="Calibri"/>
          <w:sz w:val="22"/>
          <w:szCs w:val="22"/>
          <w:lang w:val="en-GB"/>
        </w:rPr>
        <w:t xml:space="preserve"> J.M.S.</w:t>
      </w:r>
      <w:r w:rsidRPr="00D17768">
        <w:rPr>
          <w:rFonts w:ascii="Calibri" w:eastAsia="Calibri" w:hAnsi="Calibri" w:cs="Calibri"/>
          <w:sz w:val="22"/>
          <w:szCs w:val="22"/>
          <w:lang w:val="en-GB"/>
        </w:rPr>
        <w:t>, ‘Measuring and decomposing the gender pay gap: A new frontier approach’ (2018) 271 European Journal of Operational Research 357</w:t>
      </w:r>
    </w:p>
    <w:p w14:paraId="551CD7E2" w14:textId="77777777" w:rsidR="009C419C" w:rsidRDefault="009C419C" w:rsidP="009C419C">
      <w:pPr>
        <w:rPr>
          <w:rFonts w:ascii="Calibri" w:eastAsia="Calibri" w:hAnsi="Calibri" w:cs="Calibri"/>
          <w:sz w:val="22"/>
          <w:szCs w:val="22"/>
          <w:lang w:val="en-GB"/>
        </w:rPr>
      </w:pPr>
    </w:p>
    <w:p w14:paraId="097C704A" w14:textId="59F7A9EA" w:rsidR="000246C1" w:rsidRDefault="009C419C" w:rsidP="000246C1">
      <w:pPr>
        <w:rPr>
          <w:rFonts w:ascii="Calibri" w:eastAsia="Calibri" w:hAnsi="Calibri" w:cs="Calibri"/>
          <w:sz w:val="22"/>
          <w:szCs w:val="22"/>
          <w:lang w:val="en-GB"/>
        </w:rPr>
      </w:pPr>
      <w:r w:rsidRPr="00EA2029">
        <w:rPr>
          <w:rFonts w:ascii="Calibri" w:eastAsia="Calibri" w:hAnsi="Calibri" w:cs="Calibri"/>
          <w:sz w:val="22"/>
          <w:szCs w:val="22"/>
          <w:lang w:val="en-GB"/>
        </w:rPr>
        <w:t>Bergmann</w:t>
      </w:r>
      <w:r>
        <w:rPr>
          <w:rFonts w:ascii="Calibri" w:eastAsia="Calibri" w:hAnsi="Calibri" w:cs="Calibri"/>
          <w:sz w:val="22"/>
          <w:szCs w:val="22"/>
          <w:lang w:val="en-GB"/>
        </w:rPr>
        <w:t xml:space="preserve"> B.</w:t>
      </w:r>
      <w:r w:rsidRPr="00EA2029">
        <w:rPr>
          <w:rFonts w:ascii="Calibri" w:eastAsia="Calibri" w:hAnsi="Calibri" w:cs="Calibri"/>
          <w:sz w:val="22"/>
          <w:szCs w:val="22"/>
          <w:lang w:val="en-GB"/>
        </w:rPr>
        <w:t>, ‘The effect on White Incomes of Discrimination in Employment’ (1971) 79:2 Journal of Political Economy 294; Barbara Bergmann, The Economic Emergence of Women (Palgrave Macmillan 2005) 4</w:t>
      </w:r>
      <w:r>
        <w:rPr>
          <w:rFonts w:ascii="Calibri" w:eastAsia="Calibri" w:hAnsi="Calibri" w:cs="Calibri"/>
          <w:sz w:val="22"/>
          <w:szCs w:val="22"/>
          <w:lang w:val="en-GB"/>
        </w:rPr>
        <w:t>1</w:t>
      </w:r>
    </w:p>
    <w:p w14:paraId="2ED1383B" w14:textId="77777777" w:rsidR="009C419C" w:rsidRDefault="009C419C" w:rsidP="000246C1">
      <w:pPr>
        <w:rPr>
          <w:rFonts w:ascii="Calibri" w:eastAsia="Calibri" w:hAnsi="Calibri" w:cs="Calibri"/>
          <w:sz w:val="22"/>
          <w:szCs w:val="22"/>
          <w:lang w:val="en-GB"/>
        </w:rPr>
      </w:pPr>
    </w:p>
    <w:p w14:paraId="0A170254" w14:textId="65C674D1" w:rsidR="000246C1" w:rsidRPr="00EA2029" w:rsidRDefault="000246C1" w:rsidP="000246C1">
      <w:pPr>
        <w:rPr>
          <w:rFonts w:ascii="Calibri" w:eastAsia="Calibri" w:hAnsi="Calibri" w:cs="Calibri"/>
          <w:sz w:val="22"/>
          <w:szCs w:val="22"/>
          <w:lang w:val="en-GB"/>
        </w:rPr>
      </w:pPr>
      <w:r w:rsidRPr="00EA2029">
        <w:rPr>
          <w:rFonts w:ascii="Calibri" w:eastAsia="Calibri" w:hAnsi="Calibri" w:cs="Calibri"/>
          <w:sz w:val="22"/>
          <w:szCs w:val="22"/>
          <w:lang w:val="en-GB"/>
        </w:rPr>
        <w:t>Blau</w:t>
      </w:r>
      <w:r>
        <w:rPr>
          <w:rFonts w:ascii="Calibri" w:eastAsia="Calibri" w:hAnsi="Calibri" w:cs="Calibri"/>
          <w:sz w:val="22"/>
          <w:szCs w:val="22"/>
          <w:lang w:val="en-GB"/>
        </w:rPr>
        <w:t xml:space="preserve"> F.D,</w:t>
      </w:r>
      <w:r w:rsidRPr="00EA2029">
        <w:rPr>
          <w:rFonts w:ascii="Calibri" w:eastAsia="Calibri" w:hAnsi="Calibri" w:cs="Calibri"/>
          <w:sz w:val="22"/>
          <w:szCs w:val="22"/>
          <w:lang w:val="en-GB"/>
        </w:rPr>
        <w:t xml:space="preserve"> and Kahn</w:t>
      </w:r>
      <w:r>
        <w:rPr>
          <w:rFonts w:ascii="Calibri" w:eastAsia="Calibri" w:hAnsi="Calibri" w:cs="Calibri"/>
          <w:sz w:val="22"/>
          <w:szCs w:val="22"/>
          <w:lang w:val="en-GB"/>
        </w:rPr>
        <w:t xml:space="preserve"> L.M.</w:t>
      </w:r>
      <w:r w:rsidRPr="00EA2029">
        <w:rPr>
          <w:rFonts w:ascii="Calibri" w:eastAsia="Calibri" w:hAnsi="Calibri" w:cs="Calibri"/>
          <w:sz w:val="22"/>
          <w:szCs w:val="22"/>
          <w:lang w:val="en-GB"/>
        </w:rPr>
        <w:t>, ‘The Gender Pay Gap: Have Women Gone as Far as They Can?’ (2007) 21:1 Academy of Management Perspective 7</w:t>
      </w:r>
    </w:p>
    <w:p w14:paraId="4A6AC463" w14:textId="77777777" w:rsidR="000246C1" w:rsidRDefault="000246C1" w:rsidP="000246C1">
      <w:pPr>
        <w:rPr>
          <w:rFonts w:ascii="Calibri" w:eastAsia="Calibri" w:hAnsi="Calibri" w:cs="Calibri"/>
          <w:sz w:val="22"/>
          <w:szCs w:val="22"/>
          <w:vertAlign w:val="superscript"/>
          <w:lang w:val="en-GB"/>
        </w:rPr>
      </w:pPr>
    </w:p>
    <w:p w14:paraId="7CFCF2A3" w14:textId="77777777" w:rsidR="000246C1" w:rsidRDefault="000246C1" w:rsidP="000246C1">
      <w:pPr>
        <w:rPr>
          <w:rFonts w:ascii="Calibri" w:eastAsia="Calibri" w:hAnsi="Calibri" w:cs="Calibri"/>
          <w:sz w:val="22"/>
          <w:szCs w:val="22"/>
          <w:lang w:val="en-GB"/>
        </w:rPr>
      </w:pPr>
      <w:r w:rsidRPr="00EA2029">
        <w:rPr>
          <w:rFonts w:ascii="Calibri" w:eastAsia="Calibri" w:hAnsi="Calibri" w:cs="Calibri"/>
          <w:sz w:val="22"/>
          <w:szCs w:val="22"/>
          <w:lang w:val="en-GB"/>
        </w:rPr>
        <w:t>Becker</w:t>
      </w:r>
      <w:r>
        <w:rPr>
          <w:rFonts w:ascii="Calibri" w:eastAsia="Calibri" w:hAnsi="Calibri" w:cs="Calibri"/>
          <w:sz w:val="22"/>
          <w:szCs w:val="22"/>
          <w:lang w:val="en-GB"/>
        </w:rPr>
        <w:t xml:space="preserve"> G.S.</w:t>
      </w:r>
      <w:r w:rsidRPr="00EA2029">
        <w:rPr>
          <w:rFonts w:ascii="Calibri" w:eastAsia="Calibri" w:hAnsi="Calibri" w:cs="Calibri"/>
          <w:sz w:val="22"/>
          <w:szCs w:val="22"/>
          <w:lang w:val="en-GB"/>
        </w:rPr>
        <w:t xml:space="preserve">, </w:t>
      </w:r>
      <w:r w:rsidRPr="00EA2029">
        <w:rPr>
          <w:rFonts w:ascii="Calibri" w:eastAsia="Calibri" w:hAnsi="Calibri" w:cs="Calibri"/>
          <w:i/>
          <w:sz w:val="22"/>
          <w:szCs w:val="22"/>
          <w:lang w:val="en-GB"/>
        </w:rPr>
        <w:t>The Economics of Discrimination</w:t>
      </w:r>
      <w:r w:rsidRPr="00EA2029">
        <w:rPr>
          <w:rFonts w:ascii="Calibri" w:eastAsia="Calibri" w:hAnsi="Calibri" w:cs="Calibri"/>
          <w:sz w:val="22"/>
          <w:szCs w:val="22"/>
          <w:lang w:val="en-GB"/>
        </w:rPr>
        <w:t xml:space="preserve"> (2nd edn The University of Chicago Press 1957)</w:t>
      </w:r>
    </w:p>
    <w:p w14:paraId="69C62DF3" w14:textId="77777777" w:rsidR="000246C1" w:rsidRDefault="000246C1" w:rsidP="000246C1">
      <w:pPr>
        <w:rPr>
          <w:rFonts w:ascii="Calibri" w:eastAsia="Calibri" w:hAnsi="Calibri" w:cs="Calibri"/>
          <w:sz w:val="22"/>
          <w:szCs w:val="22"/>
          <w:lang w:val="en-GB"/>
        </w:rPr>
      </w:pPr>
    </w:p>
    <w:p w14:paraId="7F864BDF" w14:textId="6A088B7D" w:rsidR="000246C1" w:rsidRDefault="000246C1" w:rsidP="000246C1">
      <w:pPr>
        <w:rPr>
          <w:rFonts w:ascii="Calibri" w:eastAsia="Calibri" w:hAnsi="Calibri" w:cs="Calibri"/>
          <w:color w:val="000000"/>
          <w:sz w:val="22"/>
          <w:szCs w:val="22"/>
          <w:lang w:val="en-GB"/>
        </w:rPr>
      </w:pPr>
      <w:r w:rsidRPr="001D6633">
        <w:rPr>
          <w:rFonts w:ascii="Calibri" w:eastAsia="Calibri" w:hAnsi="Calibri" w:cs="Calibri"/>
          <w:color w:val="000000"/>
          <w:sz w:val="22"/>
          <w:szCs w:val="22"/>
          <w:lang w:val="en-GB"/>
        </w:rPr>
        <w:t>Benedi Lahuerta</w:t>
      </w:r>
      <w:r>
        <w:rPr>
          <w:rFonts w:ascii="Calibri" w:eastAsia="Calibri" w:hAnsi="Calibri" w:cs="Calibri"/>
          <w:color w:val="000000"/>
          <w:sz w:val="22"/>
          <w:szCs w:val="22"/>
          <w:lang w:val="en-GB"/>
        </w:rPr>
        <w:t xml:space="preserve"> S.</w:t>
      </w:r>
      <w:r w:rsidRPr="001D6633">
        <w:rPr>
          <w:rFonts w:ascii="Calibri" w:eastAsia="Calibri" w:hAnsi="Calibri" w:cs="Calibri"/>
          <w:color w:val="000000"/>
          <w:sz w:val="22"/>
          <w:szCs w:val="22"/>
          <w:lang w:val="en-GB"/>
        </w:rPr>
        <w:t>, ‘EU transparency legislation to address gender pay inequity: What is on the horizon and its likely impact in Ireland’ (2022) 24 Irish Journal of European Law 161</w:t>
      </w:r>
    </w:p>
    <w:p w14:paraId="5E19B048" w14:textId="77777777" w:rsidR="000246C1" w:rsidRDefault="000246C1" w:rsidP="000246C1">
      <w:pPr>
        <w:rPr>
          <w:rFonts w:ascii="Calibri" w:eastAsia="Calibri" w:hAnsi="Calibri" w:cs="Calibri"/>
          <w:color w:val="000000"/>
          <w:sz w:val="22"/>
          <w:szCs w:val="22"/>
          <w:lang w:val="en-GB"/>
        </w:rPr>
      </w:pPr>
    </w:p>
    <w:p w14:paraId="3DB5B8FB" w14:textId="20F64E34" w:rsidR="000246C1" w:rsidRPr="000246C1" w:rsidRDefault="000246C1" w:rsidP="000246C1">
      <w:pPr>
        <w:rPr>
          <w:rFonts w:ascii="Calibri" w:eastAsia="Calibri" w:hAnsi="Calibri" w:cs="Calibri"/>
          <w:color w:val="000000"/>
          <w:sz w:val="22"/>
          <w:szCs w:val="22"/>
          <w:lang w:val="en-GB"/>
        </w:rPr>
      </w:pPr>
      <w:r w:rsidRPr="001D6633">
        <w:rPr>
          <w:rFonts w:ascii="Calibri" w:eastAsia="Calibri" w:hAnsi="Calibri" w:cs="Calibri"/>
          <w:color w:val="000000"/>
          <w:sz w:val="22"/>
          <w:szCs w:val="22"/>
          <w:lang w:val="en-GB"/>
        </w:rPr>
        <w:t>Benedi Lahuerta</w:t>
      </w:r>
      <w:r>
        <w:rPr>
          <w:rFonts w:ascii="Calibri" w:eastAsia="Calibri" w:hAnsi="Calibri" w:cs="Calibri"/>
          <w:color w:val="000000"/>
          <w:sz w:val="22"/>
          <w:szCs w:val="22"/>
          <w:lang w:val="en-GB"/>
        </w:rPr>
        <w:t xml:space="preserve"> S.</w:t>
      </w:r>
      <w:r w:rsidRPr="001D6633">
        <w:rPr>
          <w:rFonts w:ascii="Calibri" w:eastAsia="Calibri" w:hAnsi="Calibri" w:cs="Calibri"/>
          <w:color w:val="000000"/>
          <w:sz w:val="22"/>
          <w:szCs w:val="22"/>
          <w:lang w:val="en-GB"/>
        </w:rPr>
        <w:t>, Miller</w:t>
      </w:r>
      <w:r>
        <w:rPr>
          <w:rFonts w:ascii="Calibri" w:eastAsia="Calibri" w:hAnsi="Calibri" w:cs="Calibri"/>
          <w:color w:val="000000"/>
          <w:sz w:val="22"/>
          <w:szCs w:val="22"/>
          <w:lang w:val="en-GB"/>
        </w:rPr>
        <w:t xml:space="preserve"> K.,</w:t>
      </w:r>
      <w:r w:rsidRPr="001D6633">
        <w:rPr>
          <w:rFonts w:ascii="Calibri" w:eastAsia="Calibri" w:hAnsi="Calibri" w:cs="Calibri"/>
          <w:color w:val="000000"/>
          <w:sz w:val="22"/>
          <w:szCs w:val="22"/>
          <w:lang w:val="en-GB"/>
        </w:rPr>
        <w:t xml:space="preserve"> and Carlson</w:t>
      </w:r>
      <w:r>
        <w:rPr>
          <w:rFonts w:ascii="Calibri" w:eastAsia="Calibri" w:hAnsi="Calibri" w:cs="Calibri"/>
          <w:color w:val="000000"/>
          <w:sz w:val="22"/>
          <w:szCs w:val="22"/>
          <w:lang w:val="en-GB"/>
        </w:rPr>
        <w:t xml:space="preserve"> L.,</w:t>
      </w:r>
      <w:r w:rsidRPr="001D6633">
        <w:rPr>
          <w:rFonts w:ascii="Calibri" w:eastAsia="Calibri" w:hAnsi="Calibri" w:cs="Calibri"/>
          <w:color w:val="000000"/>
          <w:sz w:val="22"/>
          <w:szCs w:val="22"/>
          <w:lang w:val="en-GB"/>
        </w:rPr>
        <w:t xml:space="preserve"> (eds), </w:t>
      </w:r>
      <w:r w:rsidRPr="001D6633">
        <w:rPr>
          <w:rFonts w:ascii="Calibri" w:eastAsia="Calibri" w:hAnsi="Calibri" w:cs="Calibri"/>
          <w:i/>
          <w:color w:val="000000"/>
          <w:sz w:val="22"/>
          <w:szCs w:val="22"/>
          <w:lang w:val="en-GB"/>
        </w:rPr>
        <w:t>Bridging the Gender Pay Gap through Transparency</w:t>
      </w:r>
      <w:r>
        <w:rPr>
          <w:rFonts w:ascii="Calibri" w:eastAsia="Calibri" w:hAnsi="Calibri" w:cs="Calibri"/>
          <w:i/>
          <w:color w:val="000000"/>
          <w:sz w:val="22"/>
          <w:szCs w:val="22"/>
          <w:lang w:val="en-GB"/>
        </w:rPr>
        <w:t xml:space="preserve"> </w:t>
      </w:r>
      <w:r w:rsidRPr="001D6633">
        <w:rPr>
          <w:rFonts w:ascii="Calibri" w:eastAsia="Calibri" w:hAnsi="Calibri" w:cs="Calibri"/>
          <w:i/>
          <w:color w:val="000000"/>
          <w:sz w:val="22"/>
          <w:szCs w:val="22"/>
          <w:lang w:val="en-GB"/>
        </w:rPr>
        <w:t>Comparative Approaches and Key Regulatory Conundrums</w:t>
      </w:r>
      <w:r w:rsidRPr="001D6633">
        <w:rPr>
          <w:rFonts w:ascii="Calibri" w:eastAsia="Calibri" w:hAnsi="Calibri" w:cs="Calibri"/>
          <w:color w:val="000000"/>
          <w:sz w:val="22"/>
          <w:szCs w:val="22"/>
          <w:lang w:val="en-GB"/>
        </w:rPr>
        <w:t xml:space="preserve"> (Edward Elgar Publishing 2024) 13</w:t>
      </w:r>
    </w:p>
    <w:p w14:paraId="2DC3F2E5" w14:textId="77777777" w:rsidR="000246C1" w:rsidRDefault="000246C1" w:rsidP="000246C1">
      <w:pPr>
        <w:rPr>
          <w:rFonts w:ascii="Calibri" w:eastAsia="Calibri" w:hAnsi="Calibri" w:cs="Calibri"/>
          <w:sz w:val="22"/>
          <w:szCs w:val="22"/>
          <w:lang w:val="en-GB"/>
        </w:rPr>
      </w:pPr>
    </w:p>
    <w:p w14:paraId="7100F961" w14:textId="77777777" w:rsidR="000246C1" w:rsidRDefault="000246C1" w:rsidP="000246C1">
      <w:pPr>
        <w:jc w:val="both"/>
        <w:rPr>
          <w:rFonts w:ascii="Calibri" w:eastAsia="Calibri" w:hAnsi="Calibri" w:cs="Calibri"/>
          <w:color w:val="000000"/>
          <w:sz w:val="22"/>
          <w:szCs w:val="22"/>
          <w:lang w:val="en-GB"/>
        </w:rPr>
      </w:pPr>
      <w:r w:rsidRPr="002E7E3A">
        <w:rPr>
          <w:rFonts w:ascii="Calibri" w:eastAsia="Calibri" w:hAnsi="Calibri" w:cs="Calibri"/>
          <w:color w:val="000000"/>
          <w:sz w:val="22"/>
          <w:szCs w:val="22"/>
          <w:lang w:val="en-GB"/>
        </w:rPr>
        <w:t xml:space="preserve">Bhorata </w:t>
      </w:r>
      <w:r>
        <w:rPr>
          <w:rFonts w:ascii="Calibri" w:eastAsia="Calibri" w:hAnsi="Calibri" w:cs="Calibri"/>
          <w:color w:val="000000"/>
          <w:sz w:val="22"/>
          <w:szCs w:val="22"/>
          <w:lang w:val="en-GB"/>
        </w:rPr>
        <w:t xml:space="preserve">H., </w:t>
      </w:r>
      <w:r w:rsidRPr="002E7E3A">
        <w:rPr>
          <w:rFonts w:ascii="Calibri" w:eastAsia="Calibri" w:hAnsi="Calibri" w:cs="Calibri"/>
          <w:color w:val="000000"/>
          <w:sz w:val="22"/>
          <w:szCs w:val="22"/>
          <w:lang w:val="en-GB"/>
        </w:rPr>
        <w:t>and Gogab</w:t>
      </w:r>
      <w:r>
        <w:rPr>
          <w:rFonts w:ascii="Calibri" w:eastAsia="Calibri" w:hAnsi="Calibri" w:cs="Calibri"/>
          <w:color w:val="000000"/>
          <w:sz w:val="22"/>
          <w:szCs w:val="22"/>
          <w:lang w:val="en-GB"/>
        </w:rPr>
        <w:t xml:space="preserve"> S.,</w:t>
      </w:r>
      <w:r w:rsidRPr="002E7E3A">
        <w:rPr>
          <w:rFonts w:ascii="Calibri" w:eastAsia="Calibri" w:hAnsi="Calibri" w:cs="Calibri"/>
          <w:color w:val="000000"/>
          <w:sz w:val="22"/>
          <w:szCs w:val="22"/>
          <w:lang w:val="en-GB"/>
        </w:rPr>
        <w:t xml:space="preserve"> ‘The Gender Wage Gap in Post-Apartheid South Africa: A Re-examination’ (2013) Journal of African Economies 1</w:t>
      </w:r>
    </w:p>
    <w:p w14:paraId="6E9D39DB" w14:textId="77777777" w:rsidR="00E36EC1" w:rsidRDefault="00E36EC1" w:rsidP="000246C1">
      <w:pPr>
        <w:jc w:val="both"/>
        <w:rPr>
          <w:rFonts w:ascii="Calibri" w:eastAsia="Calibri" w:hAnsi="Calibri" w:cs="Calibri"/>
          <w:color w:val="000000"/>
          <w:sz w:val="22"/>
          <w:szCs w:val="22"/>
          <w:lang w:val="en-GB"/>
        </w:rPr>
      </w:pPr>
    </w:p>
    <w:p w14:paraId="1EA45FAB" w14:textId="22F6E596" w:rsidR="00007B3A" w:rsidRDefault="00E36EC1" w:rsidP="00E36EC1">
      <w:pPr>
        <w:rPr>
          <w:rFonts w:ascii="Calibri" w:eastAsia="Calibri" w:hAnsi="Calibri" w:cs="Calibri"/>
          <w:color w:val="000000"/>
          <w:sz w:val="22"/>
          <w:szCs w:val="22"/>
          <w:lang w:val="en-GB"/>
        </w:rPr>
      </w:pPr>
      <w:r w:rsidRPr="00B66C25">
        <w:rPr>
          <w:rFonts w:ascii="Calibri" w:eastAsia="Calibri" w:hAnsi="Calibri" w:cs="Calibri"/>
          <w:color w:val="000000"/>
          <w:sz w:val="22"/>
          <w:szCs w:val="22"/>
          <w:lang w:val="en-GB"/>
        </w:rPr>
        <w:t>Busby</w:t>
      </w:r>
      <w:r>
        <w:rPr>
          <w:rFonts w:ascii="Calibri" w:eastAsia="Calibri" w:hAnsi="Calibri" w:cs="Calibri"/>
          <w:color w:val="000000"/>
          <w:sz w:val="22"/>
          <w:szCs w:val="22"/>
          <w:lang w:val="en-GB"/>
        </w:rPr>
        <w:t xml:space="preserve"> N., </w:t>
      </w:r>
      <w:r w:rsidRPr="00B66C25">
        <w:rPr>
          <w:rFonts w:ascii="Calibri" w:eastAsia="Calibri" w:hAnsi="Calibri" w:cs="Calibri"/>
          <w:color w:val="000000"/>
          <w:sz w:val="22"/>
          <w:szCs w:val="22"/>
          <w:lang w:val="en-GB"/>
        </w:rPr>
        <w:t xml:space="preserve">‘Social Policy: Case 43/75 Defrenne v Sabena’ in Rhona Smith, Lynne Murrell and Debbie Rook (eds), </w:t>
      </w:r>
      <w:r w:rsidRPr="00B66C25">
        <w:rPr>
          <w:rFonts w:ascii="Calibri" w:eastAsia="Calibri" w:hAnsi="Calibri" w:cs="Calibri"/>
          <w:i/>
          <w:color w:val="000000"/>
          <w:sz w:val="22"/>
          <w:szCs w:val="22"/>
          <w:lang w:val="en-GB"/>
        </w:rPr>
        <w:t>Conversion Course Companion for Law: Core Legal Principles and Cases</w:t>
      </w:r>
      <w:r w:rsidRPr="00B66C25">
        <w:rPr>
          <w:rFonts w:ascii="Calibri" w:eastAsia="Calibri" w:hAnsi="Calibri" w:cs="Calibri"/>
          <w:color w:val="000000"/>
          <w:sz w:val="22"/>
          <w:szCs w:val="22"/>
          <w:lang w:val="en-GB"/>
        </w:rPr>
        <w:t xml:space="preserve"> (Pearson Education 2008) 151-155.</w:t>
      </w:r>
    </w:p>
    <w:p w14:paraId="65314790" w14:textId="77777777" w:rsidR="00E36EC1" w:rsidRDefault="00E36EC1" w:rsidP="00E36EC1">
      <w:pPr>
        <w:rPr>
          <w:rFonts w:ascii="Calibri" w:eastAsia="Calibri" w:hAnsi="Calibri" w:cs="Calibri"/>
          <w:color w:val="000000"/>
          <w:sz w:val="22"/>
          <w:szCs w:val="22"/>
          <w:lang w:val="en-GB"/>
        </w:rPr>
      </w:pPr>
    </w:p>
    <w:p w14:paraId="64F27193" w14:textId="52CB1BAF" w:rsidR="00E36EC1" w:rsidRDefault="00E36EC1" w:rsidP="00E36EC1">
      <w:pPr>
        <w:rPr>
          <w:rFonts w:ascii="Calibri" w:eastAsia="Calibri" w:hAnsi="Calibri" w:cs="Calibri"/>
          <w:sz w:val="22"/>
          <w:szCs w:val="22"/>
          <w:lang w:val="en-GB"/>
        </w:rPr>
      </w:pPr>
      <w:r w:rsidRPr="00EA2029">
        <w:rPr>
          <w:rFonts w:ascii="Calibri" w:eastAsia="Calibri" w:hAnsi="Calibri" w:cs="Calibri"/>
          <w:sz w:val="22"/>
          <w:szCs w:val="22"/>
          <w:lang w:val="en-GB"/>
        </w:rPr>
        <w:t>Ciminelli</w:t>
      </w:r>
      <w:r>
        <w:rPr>
          <w:rFonts w:ascii="Calibri" w:eastAsia="Calibri" w:hAnsi="Calibri" w:cs="Calibri"/>
          <w:sz w:val="22"/>
          <w:szCs w:val="22"/>
          <w:lang w:val="en-GB"/>
        </w:rPr>
        <w:t xml:space="preserve"> G.</w:t>
      </w:r>
      <w:r w:rsidRPr="00EA2029">
        <w:rPr>
          <w:rFonts w:ascii="Calibri" w:eastAsia="Calibri" w:hAnsi="Calibri" w:cs="Calibri"/>
          <w:sz w:val="22"/>
          <w:szCs w:val="22"/>
          <w:lang w:val="en-GB"/>
        </w:rPr>
        <w:t>, Schwellnus</w:t>
      </w:r>
      <w:r>
        <w:rPr>
          <w:rFonts w:ascii="Calibri" w:eastAsia="Calibri" w:hAnsi="Calibri" w:cs="Calibri"/>
          <w:sz w:val="22"/>
          <w:szCs w:val="22"/>
          <w:lang w:val="en-GB"/>
        </w:rPr>
        <w:t xml:space="preserve"> C.,</w:t>
      </w:r>
      <w:r w:rsidRPr="00EA2029">
        <w:rPr>
          <w:rFonts w:ascii="Calibri" w:eastAsia="Calibri" w:hAnsi="Calibri" w:cs="Calibri"/>
          <w:sz w:val="22"/>
          <w:szCs w:val="22"/>
          <w:lang w:val="en-GB"/>
        </w:rPr>
        <w:t xml:space="preserve"> and Stadler</w:t>
      </w:r>
      <w:r>
        <w:rPr>
          <w:rFonts w:ascii="Calibri" w:eastAsia="Calibri" w:hAnsi="Calibri" w:cs="Calibri"/>
          <w:sz w:val="22"/>
          <w:szCs w:val="22"/>
          <w:lang w:val="en-GB"/>
        </w:rPr>
        <w:t xml:space="preserve"> B.</w:t>
      </w:r>
      <w:r w:rsidRPr="00EA2029">
        <w:rPr>
          <w:rFonts w:ascii="Calibri" w:eastAsia="Calibri" w:hAnsi="Calibri" w:cs="Calibri"/>
          <w:sz w:val="22"/>
          <w:szCs w:val="22"/>
          <w:lang w:val="en-GB"/>
        </w:rPr>
        <w:t>, ‘Sticky floors or glass ceilings? The role of human capital, working time flexibility and discrimination in the gender wage gap’ (2021) OECD Working Paper 1668/2021</w:t>
      </w:r>
    </w:p>
    <w:p w14:paraId="463BBA23" w14:textId="77777777" w:rsidR="00007B3A" w:rsidRDefault="00007B3A" w:rsidP="00E36EC1">
      <w:pPr>
        <w:rPr>
          <w:rFonts w:ascii="Calibri" w:eastAsia="Calibri" w:hAnsi="Calibri" w:cs="Calibri"/>
          <w:sz w:val="22"/>
          <w:szCs w:val="22"/>
          <w:lang w:val="en-GB"/>
        </w:rPr>
      </w:pPr>
    </w:p>
    <w:p w14:paraId="217C3248" w14:textId="3949BC48" w:rsidR="00007B3A" w:rsidRPr="00E36EC1" w:rsidRDefault="00007B3A" w:rsidP="00E36EC1">
      <w:pPr>
        <w:rPr>
          <w:rFonts w:ascii="Calibri" w:eastAsia="Calibri" w:hAnsi="Calibri" w:cs="Calibri"/>
          <w:sz w:val="22"/>
          <w:szCs w:val="22"/>
          <w:lang w:val="en-GB"/>
        </w:rPr>
      </w:pPr>
      <w:r w:rsidRPr="00B66C25">
        <w:rPr>
          <w:rFonts w:ascii="Calibri" w:eastAsia="Calibri" w:hAnsi="Calibri" w:cs="Calibri"/>
          <w:sz w:val="22"/>
          <w:szCs w:val="22"/>
          <w:lang w:val="en-GB"/>
        </w:rPr>
        <w:t>Council of Europe European Social Charter 7</w:t>
      </w:r>
      <w:r w:rsidRPr="00B66C25">
        <w:rPr>
          <w:rFonts w:ascii="Calibri" w:eastAsia="Calibri" w:hAnsi="Calibri" w:cs="Calibri"/>
          <w:sz w:val="22"/>
          <w:szCs w:val="22"/>
          <w:vertAlign w:val="superscript"/>
          <w:lang w:val="en-GB"/>
        </w:rPr>
        <w:t>th</w:t>
      </w:r>
      <w:r w:rsidRPr="00B66C25">
        <w:rPr>
          <w:rFonts w:ascii="Calibri" w:eastAsia="Calibri" w:hAnsi="Calibri" w:cs="Calibri"/>
          <w:sz w:val="22"/>
          <w:szCs w:val="22"/>
          <w:lang w:val="en-GB"/>
        </w:rPr>
        <w:t xml:space="preserve"> edition of the collected texts (2015)</w:t>
      </w:r>
      <w:r>
        <w:rPr>
          <w:rFonts w:ascii="Calibri" w:eastAsia="Calibri" w:hAnsi="Calibri" w:cs="Calibri"/>
          <w:sz w:val="22"/>
          <w:szCs w:val="22"/>
          <w:lang w:val="en-GB"/>
        </w:rPr>
        <w:t xml:space="preserve">: </w:t>
      </w:r>
      <w:hyperlink r:id="rId13" w:history="1">
        <w:r w:rsidRPr="00155154">
          <w:rPr>
            <w:rStyle w:val="Hyperlink"/>
            <w:rFonts w:ascii="Calibri" w:eastAsia="Calibri" w:hAnsi="Calibri" w:cs="Calibri"/>
            <w:sz w:val="22"/>
            <w:szCs w:val="22"/>
            <w:lang w:val="en-GB"/>
          </w:rPr>
          <w:t>https://rm.coe.int/168048b059 accessed 5 May 2025</w:t>
        </w:r>
      </w:hyperlink>
    </w:p>
    <w:p w14:paraId="228FF4D6" w14:textId="77777777" w:rsidR="00E36EC1" w:rsidRDefault="00E36EC1" w:rsidP="00E36EC1">
      <w:pPr>
        <w:rPr>
          <w:rFonts w:ascii="Calibri" w:eastAsia="Calibri" w:hAnsi="Calibri" w:cs="Calibri"/>
          <w:color w:val="000000"/>
          <w:sz w:val="22"/>
          <w:szCs w:val="22"/>
          <w:lang w:val="en-GB"/>
        </w:rPr>
      </w:pPr>
    </w:p>
    <w:p w14:paraId="298A5DB6" w14:textId="77777777" w:rsidR="00E36EC1" w:rsidRDefault="00E36EC1" w:rsidP="00E36EC1">
      <w:pPr>
        <w:rPr>
          <w:rFonts w:ascii="Calibri" w:eastAsia="Calibri" w:hAnsi="Calibri" w:cs="Calibri"/>
          <w:color w:val="000000"/>
          <w:sz w:val="22"/>
          <w:szCs w:val="22"/>
          <w:lang w:val="en-GB"/>
        </w:rPr>
      </w:pPr>
      <w:r w:rsidRPr="00B66C25">
        <w:rPr>
          <w:rFonts w:ascii="Calibri" w:eastAsia="Calibri" w:hAnsi="Calibri" w:cs="Calibri"/>
          <w:color w:val="000000"/>
          <w:sz w:val="22"/>
          <w:szCs w:val="22"/>
          <w:lang w:val="en-GB"/>
        </w:rPr>
        <w:t>D’Hooghe</w:t>
      </w:r>
      <w:r>
        <w:rPr>
          <w:rFonts w:ascii="Calibri" w:eastAsia="Calibri" w:hAnsi="Calibri" w:cs="Calibri"/>
          <w:color w:val="000000"/>
          <w:sz w:val="22"/>
          <w:szCs w:val="22"/>
          <w:lang w:val="en-GB"/>
        </w:rPr>
        <w:t xml:space="preserve"> V.,</w:t>
      </w:r>
      <w:r w:rsidRPr="00B66C25">
        <w:rPr>
          <w:rFonts w:ascii="Calibri" w:eastAsia="Calibri" w:hAnsi="Calibri" w:cs="Calibri"/>
          <w:color w:val="000000"/>
          <w:sz w:val="22"/>
          <w:szCs w:val="22"/>
          <w:lang w:val="en-GB"/>
        </w:rPr>
        <w:t xml:space="preserve"> ‘Article 119 How Stewardesses Obtained Equal Pay in the European Community (Belgium, 1968-1980)’ in Yulia Gradskova and Sara Sanders (eds), </w:t>
      </w:r>
      <w:r w:rsidRPr="00B66C25">
        <w:rPr>
          <w:rFonts w:ascii="Calibri" w:eastAsia="Calibri" w:hAnsi="Calibri" w:cs="Calibri"/>
          <w:i/>
          <w:color w:val="000000"/>
          <w:sz w:val="22"/>
          <w:szCs w:val="22"/>
          <w:lang w:val="en-GB"/>
        </w:rPr>
        <w:t>Institutionalizing Gender Equality Historical and Global Perspectives</w:t>
      </w:r>
      <w:r w:rsidRPr="00B66C25">
        <w:rPr>
          <w:rFonts w:ascii="Calibri" w:eastAsia="Calibri" w:hAnsi="Calibri" w:cs="Calibri"/>
          <w:color w:val="000000"/>
          <w:sz w:val="22"/>
          <w:szCs w:val="22"/>
          <w:lang w:val="en-GB"/>
        </w:rPr>
        <w:t xml:space="preserve"> (Lexington Books 2015)</w:t>
      </w:r>
    </w:p>
    <w:p w14:paraId="0EDB31ED" w14:textId="77777777" w:rsidR="000246C1" w:rsidRDefault="000246C1" w:rsidP="00BD71B7">
      <w:pPr>
        <w:jc w:val="both"/>
        <w:rPr>
          <w:rFonts w:ascii="Calibri" w:eastAsia="Calibri" w:hAnsi="Calibri" w:cs="Calibri"/>
          <w:color w:val="000000"/>
          <w:sz w:val="22"/>
          <w:szCs w:val="22"/>
          <w:lang w:val="en-GB"/>
        </w:rPr>
      </w:pPr>
    </w:p>
    <w:p w14:paraId="0F5145B9" w14:textId="77777777" w:rsidR="009C419C" w:rsidRPr="00EA2029" w:rsidRDefault="009C419C" w:rsidP="009C419C">
      <w:pPr>
        <w:rPr>
          <w:rFonts w:ascii="Calibri" w:eastAsia="Calibri" w:hAnsi="Calibri" w:cs="Calibri"/>
          <w:sz w:val="22"/>
          <w:szCs w:val="22"/>
          <w:lang w:val="en-GB"/>
        </w:rPr>
      </w:pPr>
      <w:r w:rsidRPr="00EA2029">
        <w:rPr>
          <w:rFonts w:ascii="Calibri" w:eastAsia="Calibri" w:hAnsi="Calibri" w:cs="Calibri"/>
          <w:sz w:val="22"/>
          <w:szCs w:val="22"/>
          <w:lang w:val="en-GB"/>
        </w:rPr>
        <w:t>Dominguez-Folgueras</w:t>
      </w:r>
      <w:r>
        <w:rPr>
          <w:rFonts w:ascii="Calibri" w:eastAsia="Calibri" w:hAnsi="Calibri" w:cs="Calibri"/>
          <w:sz w:val="22"/>
          <w:szCs w:val="22"/>
          <w:lang w:val="en-GB"/>
        </w:rPr>
        <w:t xml:space="preserve"> M.</w:t>
      </w:r>
      <w:r w:rsidRPr="00EA2029">
        <w:rPr>
          <w:rFonts w:ascii="Calibri" w:eastAsia="Calibri" w:hAnsi="Calibri" w:cs="Calibri"/>
          <w:sz w:val="22"/>
          <w:szCs w:val="22"/>
          <w:lang w:val="en-GB"/>
        </w:rPr>
        <w:t xml:space="preserve">, González </w:t>
      </w:r>
      <w:r>
        <w:rPr>
          <w:rFonts w:ascii="Calibri" w:eastAsia="Calibri" w:hAnsi="Calibri" w:cs="Calibri"/>
          <w:sz w:val="22"/>
          <w:szCs w:val="22"/>
          <w:lang w:val="en-GB"/>
        </w:rPr>
        <w:t xml:space="preserve">M.J., </w:t>
      </w:r>
      <w:r w:rsidRPr="00EA2029">
        <w:rPr>
          <w:rFonts w:ascii="Calibri" w:eastAsia="Calibri" w:hAnsi="Calibri" w:cs="Calibri"/>
          <w:sz w:val="22"/>
          <w:szCs w:val="22"/>
          <w:lang w:val="en-GB"/>
        </w:rPr>
        <w:t>and Lapuerta</w:t>
      </w:r>
      <w:r>
        <w:rPr>
          <w:rFonts w:ascii="Calibri" w:eastAsia="Calibri" w:hAnsi="Calibri" w:cs="Calibri"/>
          <w:sz w:val="22"/>
          <w:szCs w:val="22"/>
          <w:lang w:val="en-GB"/>
        </w:rPr>
        <w:t xml:space="preserve"> I.</w:t>
      </w:r>
      <w:r w:rsidRPr="00EA2029">
        <w:rPr>
          <w:rFonts w:ascii="Calibri" w:eastAsia="Calibri" w:hAnsi="Calibri" w:cs="Calibri"/>
          <w:sz w:val="22"/>
          <w:szCs w:val="22"/>
          <w:lang w:val="en-GB"/>
        </w:rPr>
        <w:t>, ‘The Motherhood Penalty in Spain: The Effect of Full- and Part-Time Parental Leave on Women’s Earnings’ (2022) 29:1 Social Politics: International Studies in Gender, State &amp; Society 164</w:t>
      </w:r>
    </w:p>
    <w:p w14:paraId="6F78FB65" w14:textId="77777777" w:rsidR="009C419C" w:rsidRPr="000246C1" w:rsidRDefault="009C419C" w:rsidP="00BD71B7">
      <w:pPr>
        <w:jc w:val="both"/>
        <w:rPr>
          <w:rFonts w:ascii="Calibri" w:eastAsia="Calibri" w:hAnsi="Calibri" w:cs="Calibri"/>
          <w:color w:val="000000"/>
          <w:sz w:val="22"/>
          <w:szCs w:val="22"/>
          <w:lang w:val="en-GB"/>
        </w:rPr>
      </w:pPr>
    </w:p>
    <w:p w14:paraId="63AABA64" w14:textId="4A06F24A" w:rsidR="00602F05" w:rsidRDefault="00602F05" w:rsidP="00BD71B7">
      <w:pPr>
        <w:jc w:val="both"/>
        <w:rPr>
          <w:rFonts w:ascii="Calibri" w:eastAsia="Calibri" w:hAnsi="Calibri" w:cs="Calibri"/>
          <w:color w:val="000000"/>
          <w:sz w:val="22"/>
          <w:szCs w:val="22"/>
          <w:lang w:val="en-GB"/>
        </w:rPr>
      </w:pPr>
      <w:r w:rsidRPr="002E7E3A">
        <w:rPr>
          <w:rFonts w:ascii="Calibri" w:eastAsia="Calibri" w:hAnsi="Calibri" w:cs="Calibri"/>
          <w:color w:val="000000"/>
          <w:sz w:val="22"/>
          <w:szCs w:val="22"/>
          <w:lang w:val="en-GB"/>
        </w:rPr>
        <w:t>Ebrahim</w:t>
      </w:r>
      <w:r>
        <w:rPr>
          <w:rFonts w:ascii="Calibri" w:eastAsia="Calibri" w:hAnsi="Calibri" w:cs="Calibri"/>
          <w:color w:val="000000"/>
          <w:sz w:val="22"/>
          <w:szCs w:val="22"/>
          <w:lang w:val="en-GB"/>
        </w:rPr>
        <w:t xml:space="preserve"> S.,</w:t>
      </w:r>
      <w:r w:rsidRPr="002E7E3A">
        <w:rPr>
          <w:rFonts w:ascii="Calibri" w:eastAsia="Calibri" w:hAnsi="Calibri" w:cs="Calibri"/>
          <w:color w:val="000000"/>
          <w:sz w:val="22"/>
          <w:szCs w:val="22"/>
          <w:lang w:val="en-GB"/>
        </w:rPr>
        <w:t xml:space="preserve"> ‘Equal Pay for Work of Equal Value in Terms of the Employment Equity Act 55 of 1998: Lessons from the International Labour Organisation and the United Kingdom’ (2016) 19 PELJ 1</w:t>
      </w:r>
    </w:p>
    <w:p w14:paraId="4744A082" w14:textId="77777777" w:rsidR="00007B3A" w:rsidRDefault="00007B3A" w:rsidP="00BD71B7">
      <w:pPr>
        <w:jc w:val="both"/>
        <w:rPr>
          <w:rFonts w:ascii="Calibri" w:eastAsia="Calibri" w:hAnsi="Calibri" w:cs="Calibri"/>
          <w:color w:val="000000"/>
          <w:sz w:val="22"/>
          <w:szCs w:val="22"/>
          <w:lang w:val="en-GB"/>
        </w:rPr>
      </w:pPr>
    </w:p>
    <w:p w14:paraId="7D6DCFCE" w14:textId="77777777" w:rsidR="00007B3A" w:rsidRPr="001D6633" w:rsidRDefault="00007B3A" w:rsidP="00007B3A">
      <w:pPr>
        <w:jc w:val="both"/>
        <w:rPr>
          <w:rFonts w:ascii="Calibri" w:eastAsia="Calibri" w:hAnsi="Calibri" w:cs="Calibri"/>
          <w:color w:val="000000"/>
          <w:sz w:val="22"/>
          <w:szCs w:val="22"/>
          <w:lang w:val="en-GB"/>
        </w:rPr>
      </w:pPr>
      <w:r w:rsidRPr="001D6633">
        <w:rPr>
          <w:rFonts w:ascii="Calibri" w:eastAsia="Calibri" w:hAnsi="Calibri" w:cs="Calibri"/>
          <w:color w:val="000000"/>
          <w:sz w:val="22"/>
          <w:szCs w:val="22"/>
          <w:lang w:val="en-GB"/>
        </w:rPr>
        <w:t>European Commission, ‘A Union of Equality: Gender Equality Strategy 2020-2025’ COM/2020/152 (European Commission 5 March 2020) &lt;</w:t>
      </w:r>
      <w:hyperlink r:id="rId14">
        <w:r w:rsidRPr="001D6633">
          <w:rPr>
            <w:rStyle w:val="Hyperlink"/>
            <w:rFonts w:ascii="Calibri" w:eastAsia="Calibri" w:hAnsi="Calibri" w:cs="Calibri"/>
            <w:sz w:val="22"/>
            <w:szCs w:val="22"/>
            <w:lang w:val="en-GB"/>
          </w:rPr>
          <w:t>https://eur-lex.europa.eu/legal-content/EN/TXT/PDF/?uri=CELEX:52020DC0152</w:t>
        </w:r>
      </w:hyperlink>
      <w:r w:rsidRPr="001D6633">
        <w:rPr>
          <w:rFonts w:ascii="Calibri" w:eastAsia="Calibri" w:hAnsi="Calibri" w:cs="Calibri"/>
          <w:color w:val="000000"/>
          <w:sz w:val="22"/>
          <w:szCs w:val="22"/>
          <w:lang w:val="en-GB"/>
        </w:rPr>
        <w:t>&gt; accessed 20 July 2024</w:t>
      </w:r>
    </w:p>
    <w:p w14:paraId="58D67068" w14:textId="77777777" w:rsidR="00007B3A" w:rsidRDefault="00007B3A" w:rsidP="00007B3A">
      <w:pPr>
        <w:rPr>
          <w:rFonts w:ascii="Calibri" w:eastAsia="Calibri" w:hAnsi="Calibri" w:cs="Calibri"/>
          <w:sz w:val="22"/>
          <w:szCs w:val="22"/>
          <w:lang w:val="en-GB"/>
        </w:rPr>
      </w:pPr>
    </w:p>
    <w:p w14:paraId="43BB2456" w14:textId="6C177862" w:rsidR="00007B3A" w:rsidRDefault="00007B3A" w:rsidP="00007B3A">
      <w:pPr>
        <w:rPr>
          <w:rFonts w:ascii="Calibri" w:eastAsia="Calibri" w:hAnsi="Calibri" w:cs="Calibri"/>
          <w:sz w:val="22"/>
          <w:szCs w:val="22"/>
          <w:lang w:val="en-GB"/>
        </w:rPr>
      </w:pPr>
      <w:r w:rsidRPr="00D17768">
        <w:rPr>
          <w:rFonts w:ascii="Calibri" w:eastAsia="Calibri" w:hAnsi="Calibri" w:cs="Calibri"/>
          <w:sz w:val="22"/>
          <w:szCs w:val="22"/>
          <w:lang w:val="en-GB"/>
        </w:rPr>
        <w:t xml:space="preserve">European Commission, ‘The gender pay gap situation in EU’ (European Commission, N/A) </w:t>
      </w:r>
      <w:hyperlink r:id="rId15" w:history="1">
        <w:r w:rsidRPr="0027455F">
          <w:rPr>
            <w:rStyle w:val="Hyperlink"/>
            <w:rFonts w:ascii="Calibri" w:eastAsia="Calibri" w:hAnsi="Calibri" w:cs="Calibri"/>
            <w:sz w:val="22"/>
            <w:szCs w:val="22"/>
            <w:lang w:val="en-GB"/>
          </w:rPr>
          <w:t>https://commission.europa.eu/strategy-and-policy/policies/justice-and-fundamental-rights/gender-equality/equal-pay/gender-pay-gap-situation-eu_en  accessed 20 February 2025</w:t>
        </w:r>
      </w:hyperlink>
    </w:p>
    <w:p w14:paraId="04ACCAD1" w14:textId="77777777" w:rsidR="00007B3A" w:rsidRDefault="00007B3A" w:rsidP="00007B3A">
      <w:pPr>
        <w:rPr>
          <w:rFonts w:ascii="Calibri" w:eastAsia="Calibri" w:hAnsi="Calibri" w:cs="Calibri"/>
          <w:sz w:val="22"/>
          <w:szCs w:val="22"/>
          <w:lang w:val="en-GB"/>
        </w:rPr>
      </w:pPr>
    </w:p>
    <w:p w14:paraId="39B732CF" w14:textId="77777777" w:rsidR="00007B3A" w:rsidRDefault="00007B3A" w:rsidP="00007B3A">
      <w:pPr>
        <w:rPr>
          <w:rFonts w:ascii="Calibri" w:eastAsia="Calibri" w:hAnsi="Calibri" w:cs="Calibri"/>
          <w:sz w:val="22"/>
          <w:szCs w:val="22"/>
          <w:lang w:val="en-GB"/>
        </w:rPr>
      </w:pPr>
      <w:r w:rsidRPr="00F31BFA">
        <w:rPr>
          <w:rFonts w:ascii="Calibri" w:eastAsia="Calibri" w:hAnsi="Calibri" w:cs="Calibri"/>
          <w:sz w:val="22"/>
          <w:szCs w:val="22"/>
          <w:lang w:val="en-GB"/>
        </w:rPr>
        <w:t>European Commission, Directorate-General for Justice, ‘Tackling the gender pay gap in the European Union’ (Publications Office, 2014) &lt;</w:t>
      </w:r>
      <w:hyperlink r:id="rId16">
        <w:r w:rsidRPr="00F31BFA">
          <w:rPr>
            <w:rStyle w:val="Hyperlink"/>
            <w:rFonts w:ascii="Calibri" w:eastAsia="Calibri" w:hAnsi="Calibri" w:cs="Calibri"/>
            <w:sz w:val="22"/>
            <w:szCs w:val="22"/>
            <w:lang w:val="en-GB"/>
          </w:rPr>
          <w:t>https://data.europa.eu/doi/10.2838/48187</w:t>
        </w:r>
      </w:hyperlink>
      <w:r w:rsidRPr="00F31BFA">
        <w:rPr>
          <w:rFonts w:ascii="Calibri" w:eastAsia="Calibri" w:hAnsi="Calibri" w:cs="Calibri"/>
          <w:sz w:val="22"/>
          <w:szCs w:val="22"/>
          <w:lang w:val="en-GB"/>
        </w:rPr>
        <w:t>&gt; accessed 25 November 2023</w:t>
      </w:r>
    </w:p>
    <w:p w14:paraId="75542FB5" w14:textId="76604621" w:rsidR="00007B3A" w:rsidRDefault="00007B3A" w:rsidP="00007B3A">
      <w:pPr>
        <w:rPr>
          <w:rFonts w:ascii="Calibri" w:eastAsia="Calibri" w:hAnsi="Calibri" w:cs="Calibri"/>
          <w:sz w:val="22"/>
          <w:szCs w:val="22"/>
          <w:lang w:val="en-GB"/>
        </w:rPr>
      </w:pPr>
      <w:r w:rsidRPr="00F31BFA">
        <w:rPr>
          <w:rFonts w:ascii="Calibri" w:eastAsia="Calibri" w:hAnsi="Calibri" w:cs="Calibri"/>
          <w:sz w:val="22"/>
          <w:szCs w:val="22"/>
          <w:lang w:val="en-GB"/>
        </w:rPr>
        <w:t>Orla Gough, ‘The impact of the gender pay gap on post-retirement earnings’ (2001) 21:3 Critical Social Policy 311</w:t>
      </w:r>
    </w:p>
    <w:p w14:paraId="7DEDB91A" w14:textId="77777777" w:rsidR="00007B3A" w:rsidRDefault="00007B3A" w:rsidP="00007B3A">
      <w:pPr>
        <w:rPr>
          <w:rFonts w:ascii="Calibri" w:eastAsia="Calibri" w:hAnsi="Calibri" w:cs="Calibri"/>
          <w:sz w:val="22"/>
          <w:szCs w:val="22"/>
          <w:lang w:val="en-GB"/>
        </w:rPr>
      </w:pPr>
    </w:p>
    <w:p w14:paraId="6F786972" w14:textId="77777777" w:rsidR="00007B3A" w:rsidRPr="00EA2029" w:rsidRDefault="00007B3A" w:rsidP="00007B3A">
      <w:pPr>
        <w:rPr>
          <w:rFonts w:ascii="Calibri" w:eastAsia="Calibri" w:hAnsi="Calibri" w:cs="Calibri"/>
          <w:sz w:val="22"/>
          <w:szCs w:val="22"/>
          <w:lang w:val="en-GB"/>
        </w:rPr>
      </w:pPr>
      <w:r w:rsidRPr="00EA2029">
        <w:rPr>
          <w:rFonts w:ascii="Calibri" w:eastAsia="Calibri" w:hAnsi="Calibri" w:cs="Calibri"/>
          <w:sz w:val="22"/>
          <w:szCs w:val="22"/>
          <w:lang w:val="en-GB"/>
        </w:rPr>
        <w:t>European Commission, ‘Women's situation in the labour market’ (European Commission) &lt;</w:t>
      </w:r>
      <w:hyperlink r:id="rId17">
        <w:r w:rsidRPr="00EA2029">
          <w:rPr>
            <w:rStyle w:val="Hyperlink"/>
            <w:rFonts w:ascii="Calibri" w:eastAsia="Calibri" w:hAnsi="Calibri" w:cs="Calibri"/>
            <w:sz w:val="22"/>
            <w:szCs w:val="22"/>
            <w:lang w:val="en-GB"/>
          </w:rPr>
          <w:t>https://commission.europa.eu/strategy-and-policy/policies/justice-and-fundamental-rights/gender-equality/women-labour-market-work-life-balance/womens-situation-labour-market_en</w:t>
        </w:r>
      </w:hyperlink>
      <w:r w:rsidRPr="00EA2029">
        <w:rPr>
          <w:rFonts w:ascii="Calibri" w:eastAsia="Calibri" w:hAnsi="Calibri" w:cs="Calibri"/>
          <w:sz w:val="22"/>
          <w:szCs w:val="22"/>
          <w:lang w:val="en-GB"/>
        </w:rPr>
        <w:t>&gt; accessed 14 March 2024</w:t>
      </w:r>
    </w:p>
    <w:p w14:paraId="797238AA" w14:textId="77777777" w:rsidR="00007B3A" w:rsidRDefault="00007B3A" w:rsidP="00007B3A">
      <w:pPr>
        <w:rPr>
          <w:rFonts w:ascii="Calibri" w:eastAsia="Calibri" w:hAnsi="Calibri" w:cs="Calibri"/>
          <w:sz w:val="22"/>
          <w:szCs w:val="22"/>
          <w:vertAlign w:val="superscript"/>
          <w:lang w:val="en-GB"/>
        </w:rPr>
      </w:pPr>
    </w:p>
    <w:p w14:paraId="589F39C7" w14:textId="46152A67" w:rsidR="00007B3A" w:rsidRDefault="00007B3A" w:rsidP="00007B3A">
      <w:pPr>
        <w:rPr>
          <w:rFonts w:ascii="Calibri" w:eastAsia="Calibri" w:hAnsi="Calibri" w:cs="Calibri"/>
          <w:sz w:val="22"/>
          <w:szCs w:val="22"/>
          <w:lang w:val="en-GB"/>
        </w:rPr>
      </w:pPr>
      <w:r w:rsidRPr="00EA2029">
        <w:rPr>
          <w:rFonts w:ascii="Calibri" w:eastAsia="Calibri" w:hAnsi="Calibri" w:cs="Calibri"/>
          <w:sz w:val="22"/>
          <w:szCs w:val="22"/>
          <w:lang w:val="en-GB"/>
        </w:rPr>
        <w:t>European Commission, ‘100 Words for Equality: A Glossary of Terms on Equality between Women and Men’ (Publications Office of the European Union 1998) &lt;</w:t>
      </w:r>
      <w:hyperlink r:id="rId18">
        <w:r w:rsidRPr="00EA2029">
          <w:rPr>
            <w:rStyle w:val="Hyperlink"/>
            <w:rFonts w:ascii="Calibri" w:eastAsia="Calibri" w:hAnsi="Calibri" w:cs="Calibri"/>
            <w:sz w:val="22"/>
            <w:szCs w:val="22"/>
            <w:lang w:val="en-GB"/>
          </w:rPr>
          <w:t>https://op.europa.eu/en/publication-detail/-/publication/7342d801-86cc-4f59-a71a-2ff7c0e04123</w:t>
        </w:r>
      </w:hyperlink>
      <w:r w:rsidRPr="00EA2029">
        <w:rPr>
          <w:rFonts w:ascii="Calibri" w:eastAsia="Calibri" w:hAnsi="Calibri" w:cs="Calibri"/>
          <w:sz w:val="22"/>
          <w:szCs w:val="22"/>
          <w:lang w:val="en-GB"/>
        </w:rPr>
        <w:t>&gt; accessed 14 March 2024</w:t>
      </w:r>
    </w:p>
    <w:p w14:paraId="2129F34D" w14:textId="77777777" w:rsidR="00AE064A" w:rsidRDefault="00AE064A" w:rsidP="00007B3A">
      <w:pPr>
        <w:rPr>
          <w:rFonts w:ascii="Calibri" w:eastAsia="Calibri" w:hAnsi="Calibri" w:cs="Calibri"/>
          <w:sz w:val="22"/>
          <w:szCs w:val="22"/>
          <w:lang w:val="en-GB"/>
        </w:rPr>
      </w:pPr>
    </w:p>
    <w:p w14:paraId="72AE2B20" w14:textId="77777777" w:rsidR="00AE064A" w:rsidRPr="00EA2029" w:rsidRDefault="00AE064A" w:rsidP="00AE064A">
      <w:pPr>
        <w:rPr>
          <w:rFonts w:ascii="Calibri" w:eastAsia="Calibri" w:hAnsi="Calibri" w:cs="Calibri"/>
          <w:sz w:val="22"/>
          <w:szCs w:val="22"/>
          <w:lang w:val="en-GB"/>
        </w:rPr>
      </w:pPr>
      <w:r w:rsidRPr="00EA2029">
        <w:rPr>
          <w:rFonts w:ascii="Calibri" w:eastAsia="Calibri" w:hAnsi="Calibri" w:cs="Calibri"/>
          <w:sz w:val="22"/>
          <w:szCs w:val="22"/>
          <w:lang w:val="en-GB"/>
        </w:rPr>
        <w:lastRenderedPageBreak/>
        <w:t>European Commission, ‘Women's situation in the labour market’ (European Commission) &lt;</w:t>
      </w:r>
      <w:hyperlink r:id="rId19">
        <w:r w:rsidRPr="00EA2029">
          <w:rPr>
            <w:rStyle w:val="Hyperlink"/>
            <w:rFonts w:ascii="Calibri" w:eastAsia="Calibri" w:hAnsi="Calibri" w:cs="Calibri"/>
            <w:sz w:val="22"/>
            <w:szCs w:val="22"/>
            <w:lang w:val="en-GB"/>
          </w:rPr>
          <w:t>https://commission.europa.eu/strategy-and-policy/policies/justice-and-fundamental-rights/gender-equality/women-labour-market-work-life-balance/womens-situation-labour-market_en</w:t>
        </w:r>
      </w:hyperlink>
      <w:r w:rsidRPr="00EA2029">
        <w:rPr>
          <w:rFonts w:ascii="Calibri" w:eastAsia="Calibri" w:hAnsi="Calibri" w:cs="Calibri"/>
          <w:sz w:val="22"/>
          <w:szCs w:val="22"/>
          <w:lang w:val="en-GB"/>
        </w:rPr>
        <w:t>&gt; accessed 14 March 2024</w:t>
      </w:r>
    </w:p>
    <w:p w14:paraId="0C1CC0EB" w14:textId="77777777" w:rsidR="00AE064A" w:rsidRDefault="00AE064A" w:rsidP="00AE064A">
      <w:pPr>
        <w:rPr>
          <w:rFonts w:ascii="Calibri" w:eastAsia="Calibri" w:hAnsi="Calibri" w:cs="Calibri"/>
          <w:sz w:val="22"/>
          <w:szCs w:val="22"/>
          <w:lang w:val="en-GB"/>
        </w:rPr>
      </w:pPr>
    </w:p>
    <w:p w14:paraId="4621B4BD" w14:textId="77777777" w:rsidR="00AE064A" w:rsidRPr="007072A7" w:rsidRDefault="00AE064A" w:rsidP="00AE064A">
      <w:pPr>
        <w:rPr>
          <w:rFonts w:ascii="Calibri" w:eastAsia="Calibri" w:hAnsi="Calibri" w:cs="Calibri"/>
          <w:sz w:val="22"/>
          <w:szCs w:val="22"/>
          <w:lang w:val="en-GB"/>
        </w:rPr>
      </w:pPr>
      <w:r w:rsidRPr="007072A7">
        <w:rPr>
          <w:rFonts w:ascii="Calibri" w:eastAsia="Calibri" w:hAnsi="Calibri" w:cs="Calibri"/>
          <w:sz w:val="22"/>
          <w:szCs w:val="22"/>
          <w:lang w:val="en-GB"/>
        </w:rPr>
        <w:t>European Commission, Directorate-General for Justice, ‘Tackling the gender pay gap in the European Union’ (Publications Office, 2014) &lt;</w:t>
      </w:r>
      <w:hyperlink r:id="rId20">
        <w:r w:rsidRPr="007072A7">
          <w:rPr>
            <w:rStyle w:val="Hyperlink"/>
            <w:rFonts w:ascii="Calibri" w:eastAsia="Calibri" w:hAnsi="Calibri" w:cs="Calibri"/>
            <w:sz w:val="22"/>
            <w:szCs w:val="22"/>
            <w:lang w:val="en-GB"/>
          </w:rPr>
          <w:t>https://data.europa.eu/doi/10.2838/48187</w:t>
        </w:r>
      </w:hyperlink>
      <w:r w:rsidRPr="007072A7">
        <w:rPr>
          <w:rFonts w:ascii="Calibri" w:eastAsia="Calibri" w:hAnsi="Calibri" w:cs="Calibri"/>
          <w:sz w:val="22"/>
          <w:szCs w:val="22"/>
          <w:lang w:val="en-GB"/>
        </w:rPr>
        <w:t>&gt; accessed 25 November 2023</w:t>
      </w:r>
    </w:p>
    <w:p w14:paraId="7C04A7BA" w14:textId="77777777" w:rsidR="00007B3A" w:rsidRDefault="00007B3A" w:rsidP="00007B3A">
      <w:pPr>
        <w:rPr>
          <w:rFonts w:ascii="Calibri" w:eastAsia="Calibri" w:hAnsi="Calibri" w:cs="Calibri"/>
          <w:sz w:val="22"/>
          <w:szCs w:val="22"/>
          <w:lang w:val="en-GB"/>
        </w:rPr>
      </w:pPr>
    </w:p>
    <w:p w14:paraId="32F782D7" w14:textId="77777777" w:rsidR="00007B3A" w:rsidRDefault="00007B3A" w:rsidP="00007B3A">
      <w:pPr>
        <w:rPr>
          <w:rFonts w:ascii="Calibri" w:eastAsia="Calibri" w:hAnsi="Calibri" w:cs="Calibri"/>
          <w:color w:val="000000"/>
          <w:sz w:val="22"/>
          <w:szCs w:val="22"/>
          <w:lang w:val="en-GB"/>
        </w:rPr>
      </w:pPr>
      <w:r w:rsidRPr="00B66C25">
        <w:rPr>
          <w:rFonts w:ascii="Calibri" w:eastAsia="Calibri" w:hAnsi="Calibri" w:cs="Calibri"/>
          <w:color w:val="000000"/>
          <w:sz w:val="22"/>
          <w:szCs w:val="22"/>
          <w:lang w:val="en-GB"/>
        </w:rPr>
        <w:t>European Council, ‘Gender pay gap: Council adopts new rules on pay transparency’ (2023)  &lt;</w:t>
      </w:r>
      <w:hyperlink r:id="rId21">
        <w:r w:rsidRPr="00B66C25">
          <w:rPr>
            <w:rStyle w:val="Hyperlink"/>
            <w:rFonts w:ascii="Calibri" w:eastAsia="Calibri" w:hAnsi="Calibri" w:cs="Calibri"/>
            <w:sz w:val="22"/>
            <w:szCs w:val="22"/>
            <w:lang w:val="en-GB"/>
          </w:rPr>
          <w:t>https://www.consilium.europa.eu/en/press/press-releases/2023/04/24/gender-pay-gap-council-adopts-new-rules-on-pay-transparency/</w:t>
        </w:r>
      </w:hyperlink>
      <w:r w:rsidRPr="00B66C25">
        <w:rPr>
          <w:rFonts w:ascii="Calibri" w:eastAsia="Calibri" w:hAnsi="Calibri" w:cs="Calibri"/>
          <w:color w:val="000000"/>
          <w:sz w:val="22"/>
          <w:szCs w:val="22"/>
          <w:lang w:val="en-GB"/>
        </w:rPr>
        <w:t>&gt; accessed 1 December 2023</w:t>
      </w:r>
    </w:p>
    <w:p w14:paraId="5C633504" w14:textId="77777777" w:rsidR="00007B3A" w:rsidRDefault="00007B3A" w:rsidP="00007B3A">
      <w:pPr>
        <w:rPr>
          <w:rFonts w:ascii="Calibri" w:eastAsia="Calibri" w:hAnsi="Calibri" w:cs="Calibri"/>
          <w:color w:val="000000"/>
          <w:sz w:val="22"/>
          <w:szCs w:val="22"/>
          <w:lang w:val="en-GB"/>
        </w:rPr>
      </w:pPr>
      <w:r w:rsidRPr="00B66C25">
        <w:rPr>
          <w:rFonts w:ascii="Calibri" w:eastAsia="Calibri" w:hAnsi="Calibri" w:cs="Calibri"/>
          <w:color w:val="000000"/>
          <w:sz w:val="22"/>
          <w:szCs w:val="22"/>
          <w:lang w:val="en-GB"/>
        </w:rPr>
        <w:t>European Council, ‘Pay Transparency in the EU’ (2023) &lt;</w:t>
      </w:r>
      <w:hyperlink r:id="rId22">
        <w:r w:rsidRPr="00B66C25">
          <w:rPr>
            <w:rStyle w:val="Hyperlink"/>
            <w:rFonts w:ascii="Calibri" w:eastAsia="Calibri" w:hAnsi="Calibri" w:cs="Calibri"/>
            <w:sz w:val="22"/>
            <w:szCs w:val="22"/>
            <w:lang w:val="en-GB"/>
          </w:rPr>
          <w:t>https://www.consilium.europa.eu/en/policies/pay-transparency/</w:t>
        </w:r>
      </w:hyperlink>
      <w:r w:rsidRPr="00B66C25">
        <w:rPr>
          <w:rFonts w:ascii="Calibri" w:eastAsia="Calibri" w:hAnsi="Calibri" w:cs="Calibri"/>
          <w:color w:val="000000"/>
          <w:sz w:val="22"/>
          <w:szCs w:val="22"/>
          <w:lang w:val="en-GB"/>
        </w:rPr>
        <w:t xml:space="preserve">&gt; accessed 1 December 2023 </w:t>
      </w:r>
    </w:p>
    <w:p w14:paraId="25028677" w14:textId="77777777" w:rsidR="00AE064A" w:rsidRDefault="00AE064A" w:rsidP="00007B3A">
      <w:pPr>
        <w:rPr>
          <w:rFonts w:ascii="Calibri" w:eastAsia="Calibri" w:hAnsi="Calibri" w:cs="Calibri"/>
          <w:color w:val="000000"/>
          <w:sz w:val="22"/>
          <w:szCs w:val="22"/>
          <w:lang w:val="en-GB"/>
        </w:rPr>
      </w:pPr>
    </w:p>
    <w:p w14:paraId="63BD2AE6" w14:textId="502D8C1A" w:rsidR="00AE064A" w:rsidRPr="00AE064A" w:rsidRDefault="00AE064A" w:rsidP="00007B3A">
      <w:pPr>
        <w:rPr>
          <w:rFonts w:ascii="Calibri" w:eastAsia="Calibri" w:hAnsi="Calibri" w:cs="Calibri"/>
          <w:sz w:val="22"/>
          <w:szCs w:val="22"/>
          <w:lang w:val="en-GB"/>
        </w:rPr>
      </w:pPr>
      <w:r w:rsidRPr="007072A7">
        <w:rPr>
          <w:rFonts w:ascii="Calibri" w:eastAsia="Calibri" w:hAnsi="Calibri" w:cs="Calibri"/>
          <w:sz w:val="22"/>
          <w:szCs w:val="22"/>
          <w:lang w:val="en-GB"/>
        </w:rPr>
        <w:t>European Parliament, ‘Understanding the gender pay gap: definition and causes’ (2023) &lt;</w:t>
      </w:r>
      <w:hyperlink r:id="rId23">
        <w:r w:rsidRPr="007072A7">
          <w:rPr>
            <w:rStyle w:val="Hyperlink"/>
            <w:rFonts w:ascii="Calibri" w:eastAsia="Calibri" w:hAnsi="Calibri" w:cs="Calibri"/>
            <w:sz w:val="22"/>
            <w:szCs w:val="22"/>
            <w:lang w:val="en-GB"/>
          </w:rPr>
          <w:t>https://www.europarl.europa.eu/news/en/headlines/society/20200109STO69925/understanding-the-gender-pay-gap-definition-and-causes</w:t>
        </w:r>
      </w:hyperlink>
      <w:r w:rsidRPr="007072A7">
        <w:rPr>
          <w:rFonts w:ascii="Calibri" w:eastAsia="Calibri" w:hAnsi="Calibri" w:cs="Calibri"/>
          <w:sz w:val="22"/>
          <w:szCs w:val="22"/>
          <w:lang w:val="en-GB"/>
        </w:rPr>
        <w:t>&gt; accessed 25 November 2023</w:t>
      </w:r>
    </w:p>
    <w:p w14:paraId="593D2FCF" w14:textId="77777777" w:rsidR="00007B3A" w:rsidRDefault="00007B3A" w:rsidP="00007B3A">
      <w:pPr>
        <w:rPr>
          <w:rFonts w:ascii="Calibri" w:eastAsia="Calibri" w:hAnsi="Calibri" w:cs="Calibri"/>
          <w:color w:val="000000"/>
          <w:sz w:val="22"/>
          <w:szCs w:val="22"/>
          <w:lang w:val="en-GB"/>
        </w:rPr>
      </w:pPr>
    </w:p>
    <w:p w14:paraId="4C480A9F" w14:textId="73D72FF3" w:rsidR="00007B3A" w:rsidRDefault="00007B3A" w:rsidP="00007B3A">
      <w:pPr>
        <w:rPr>
          <w:rFonts w:ascii="Calibri" w:eastAsia="Calibri" w:hAnsi="Calibri" w:cs="Calibri"/>
          <w:sz w:val="22"/>
          <w:szCs w:val="22"/>
          <w:lang w:val="en-GB"/>
        </w:rPr>
      </w:pPr>
      <w:r w:rsidRPr="00F31BFA">
        <w:rPr>
          <w:rFonts w:ascii="Calibri" w:eastAsia="Calibri" w:hAnsi="Calibri" w:cs="Calibri"/>
          <w:sz w:val="22"/>
          <w:szCs w:val="22"/>
          <w:lang w:val="en-GB"/>
        </w:rPr>
        <w:t>Eurostat, ‘Glossary: Structure of earnings survey (SES)’ (Eurostat Statistics Explained 7 December 2016) &lt;</w:t>
      </w:r>
      <w:hyperlink r:id="rId24" w:anchor=":~:text=The%20Structure%20of%20earnings%20survey,%2C%20occupation%2C%20length%20of%20service%2C">
        <w:r w:rsidRPr="00F31BFA">
          <w:rPr>
            <w:rStyle w:val="Hyperlink"/>
            <w:rFonts w:ascii="Calibri" w:eastAsia="Calibri" w:hAnsi="Calibri" w:cs="Calibri"/>
            <w:sz w:val="22"/>
            <w:szCs w:val="22"/>
            <w:lang w:val="en-GB"/>
          </w:rPr>
          <w:t>https://ec.europa.eu/eurostat/statistics-explained/index.php?title=Glossary:Structure_of_earnings_survey_(SES)#:~:text=The%20Structure%20of%20earnings%20survey,%2C%20occupation%2C%20length%20of%20service%2C</w:t>
        </w:r>
      </w:hyperlink>
      <w:r w:rsidRPr="00F31BFA">
        <w:rPr>
          <w:rFonts w:ascii="Calibri" w:eastAsia="Calibri" w:hAnsi="Calibri" w:cs="Calibri"/>
          <w:sz w:val="22"/>
          <w:szCs w:val="22"/>
          <w:lang w:val="en-GB"/>
        </w:rPr>
        <w:t>&gt; Accessed 15 December 2023</w:t>
      </w:r>
    </w:p>
    <w:p w14:paraId="242CE7E5" w14:textId="77777777" w:rsidR="00AE064A" w:rsidRDefault="00AE064A" w:rsidP="00007B3A">
      <w:pPr>
        <w:rPr>
          <w:rFonts w:ascii="Calibri" w:eastAsia="Calibri" w:hAnsi="Calibri" w:cs="Calibri"/>
          <w:sz w:val="22"/>
          <w:szCs w:val="22"/>
          <w:lang w:val="en-GB"/>
        </w:rPr>
      </w:pPr>
    </w:p>
    <w:p w14:paraId="60CC94AF" w14:textId="3B2D0D5F" w:rsidR="00AE064A" w:rsidRPr="00007B3A" w:rsidRDefault="00AE064A" w:rsidP="00007B3A">
      <w:pPr>
        <w:rPr>
          <w:rFonts w:ascii="Calibri" w:eastAsia="Calibri" w:hAnsi="Calibri" w:cs="Calibri"/>
          <w:sz w:val="22"/>
          <w:szCs w:val="22"/>
          <w:lang w:val="en-GB"/>
        </w:rPr>
      </w:pPr>
      <w:r w:rsidRPr="007072A7">
        <w:rPr>
          <w:rFonts w:ascii="Calibri" w:eastAsia="Calibri" w:hAnsi="Calibri" w:cs="Calibri"/>
          <w:sz w:val="22"/>
          <w:szCs w:val="22"/>
          <w:lang w:val="en-GB"/>
        </w:rPr>
        <w:t>Eurostat, ‘Gender Pay Gap Statistics’ (Eurostat Statistics Explained, 2023) &lt;</w:t>
      </w:r>
      <w:hyperlink r:id="rId25">
        <w:r w:rsidRPr="007072A7">
          <w:rPr>
            <w:rStyle w:val="Hyperlink"/>
            <w:rFonts w:ascii="Calibri" w:eastAsia="Calibri" w:hAnsi="Calibri" w:cs="Calibri"/>
            <w:sz w:val="22"/>
            <w:szCs w:val="22"/>
            <w:lang w:val="en-GB"/>
          </w:rPr>
          <w:t>https://ec.europa.eu/eurostat/statistics-explained/index.php?title=Gender_pay_gap_statistics</w:t>
        </w:r>
      </w:hyperlink>
      <w:r w:rsidRPr="007072A7">
        <w:rPr>
          <w:rFonts w:ascii="Calibri" w:eastAsia="Calibri" w:hAnsi="Calibri" w:cs="Calibri"/>
          <w:sz w:val="22"/>
          <w:szCs w:val="22"/>
          <w:lang w:val="en-GB"/>
        </w:rPr>
        <w:t>&gt; accessed 25 November 2023</w:t>
      </w:r>
    </w:p>
    <w:p w14:paraId="28B0E707" w14:textId="77777777" w:rsidR="00602F05" w:rsidRDefault="00602F05" w:rsidP="00BD71B7">
      <w:pPr>
        <w:jc w:val="both"/>
        <w:rPr>
          <w:rFonts w:ascii="Calibri" w:eastAsia="Calibri" w:hAnsi="Calibri" w:cs="Calibri"/>
          <w:color w:val="000000"/>
          <w:sz w:val="22"/>
          <w:szCs w:val="22"/>
          <w:lang w:val="en-GB"/>
        </w:rPr>
      </w:pPr>
    </w:p>
    <w:p w14:paraId="36E8771E" w14:textId="0789E909" w:rsidR="00BD71B7" w:rsidRDefault="002E7E3A" w:rsidP="00BD71B7">
      <w:pPr>
        <w:jc w:val="both"/>
        <w:rPr>
          <w:rFonts w:ascii="Calibri" w:eastAsia="Calibri" w:hAnsi="Calibri" w:cs="Calibri"/>
          <w:color w:val="000000"/>
          <w:sz w:val="22"/>
          <w:szCs w:val="22"/>
          <w:lang w:val="en-GB"/>
        </w:rPr>
      </w:pPr>
      <w:r w:rsidRPr="002E7E3A">
        <w:rPr>
          <w:rFonts w:ascii="Calibri" w:eastAsia="Calibri" w:hAnsi="Calibri" w:cs="Calibri"/>
          <w:color w:val="000000"/>
          <w:sz w:val="22"/>
          <w:szCs w:val="22"/>
          <w:lang w:val="en-GB"/>
        </w:rPr>
        <w:t>Espi</w:t>
      </w:r>
      <w:r w:rsidR="00602F05">
        <w:rPr>
          <w:rFonts w:ascii="Calibri" w:eastAsia="Calibri" w:hAnsi="Calibri" w:cs="Calibri"/>
          <w:color w:val="000000"/>
          <w:sz w:val="22"/>
          <w:szCs w:val="22"/>
          <w:lang w:val="en-GB"/>
        </w:rPr>
        <w:t xml:space="preserve"> G.,</w:t>
      </w:r>
      <w:r w:rsidRPr="002E7E3A">
        <w:rPr>
          <w:rFonts w:ascii="Calibri" w:eastAsia="Calibri" w:hAnsi="Calibri" w:cs="Calibri"/>
          <w:color w:val="000000"/>
          <w:sz w:val="22"/>
          <w:szCs w:val="22"/>
          <w:lang w:val="en-GB"/>
        </w:rPr>
        <w:t xml:space="preserve"> Francis</w:t>
      </w:r>
      <w:r w:rsidR="00602F05">
        <w:rPr>
          <w:rFonts w:ascii="Calibri" w:eastAsia="Calibri" w:hAnsi="Calibri" w:cs="Calibri"/>
          <w:color w:val="000000"/>
          <w:sz w:val="22"/>
          <w:szCs w:val="22"/>
          <w:lang w:val="en-GB"/>
        </w:rPr>
        <w:t xml:space="preserve"> D.,</w:t>
      </w:r>
      <w:r w:rsidRPr="002E7E3A">
        <w:rPr>
          <w:rFonts w:ascii="Calibri" w:eastAsia="Calibri" w:hAnsi="Calibri" w:cs="Calibri"/>
          <w:color w:val="000000"/>
          <w:sz w:val="22"/>
          <w:szCs w:val="22"/>
          <w:lang w:val="en-GB"/>
        </w:rPr>
        <w:t xml:space="preserve"> Valodia</w:t>
      </w:r>
      <w:r w:rsidR="00602F05">
        <w:rPr>
          <w:rFonts w:ascii="Calibri" w:eastAsia="Calibri" w:hAnsi="Calibri" w:cs="Calibri"/>
          <w:color w:val="000000"/>
          <w:sz w:val="22"/>
          <w:szCs w:val="22"/>
          <w:lang w:val="en-GB"/>
        </w:rPr>
        <w:t xml:space="preserve"> I.,</w:t>
      </w:r>
      <w:r w:rsidRPr="002E7E3A">
        <w:rPr>
          <w:rFonts w:ascii="Calibri" w:eastAsia="Calibri" w:hAnsi="Calibri" w:cs="Calibri"/>
          <w:color w:val="000000"/>
          <w:sz w:val="22"/>
          <w:szCs w:val="22"/>
          <w:lang w:val="en-GB"/>
        </w:rPr>
        <w:t xml:space="preserve"> Gender inequality in the South African labour market: Insights from the Employment Equity Act data</w:t>
      </w:r>
    </w:p>
    <w:p w14:paraId="1BBE09D4" w14:textId="77777777" w:rsidR="000246C1" w:rsidRDefault="000246C1" w:rsidP="00BD71B7">
      <w:pPr>
        <w:jc w:val="both"/>
        <w:rPr>
          <w:rFonts w:ascii="Calibri" w:eastAsia="Calibri" w:hAnsi="Calibri" w:cs="Calibri"/>
          <w:color w:val="000000"/>
          <w:sz w:val="22"/>
          <w:szCs w:val="22"/>
          <w:lang w:val="en-GB"/>
        </w:rPr>
      </w:pPr>
    </w:p>
    <w:p w14:paraId="6407AD5E" w14:textId="404E68DE" w:rsidR="000246C1" w:rsidRDefault="000246C1" w:rsidP="000246C1">
      <w:pPr>
        <w:rPr>
          <w:rFonts w:ascii="Calibri" w:eastAsia="Calibri" w:hAnsi="Calibri" w:cs="Calibri"/>
          <w:color w:val="000000"/>
          <w:sz w:val="22"/>
          <w:szCs w:val="22"/>
          <w:lang w:val="en-GB"/>
        </w:rPr>
      </w:pPr>
      <w:r w:rsidRPr="001D6633">
        <w:rPr>
          <w:rFonts w:ascii="Calibri" w:eastAsia="Calibri" w:hAnsi="Calibri" w:cs="Calibri"/>
          <w:color w:val="000000"/>
          <w:sz w:val="22"/>
          <w:szCs w:val="22"/>
          <w:lang w:val="en-GB"/>
        </w:rPr>
        <w:t>Fredman</w:t>
      </w:r>
      <w:r>
        <w:rPr>
          <w:rFonts w:ascii="Calibri" w:eastAsia="Calibri" w:hAnsi="Calibri" w:cs="Calibri"/>
          <w:color w:val="000000"/>
          <w:sz w:val="22"/>
          <w:szCs w:val="22"/>
          <w:lang w:val="en-GB"/>
        </w:rPr>
        <w:t xml:space="preserve"> S.</w:t>
      </w:r>
      <w:r w:rsidRPr="001D6633">
        <w:rPr>
          <w:rFonts w:ascii="Calibri" w:eastAsia="Calibri" w:hAnsi="Calibri" w:cs="Calibri"/>
          <w:color w:val="000000"/>
          <w:sz w:val="22"/>
          <w:szCs w:val="22"/>
          <w:lang w:val="en-GB"/>
        </w:rPr>
        <w:t>, ‘Inching Forward: Preliminary Victory for Equal Value at Tesco and Asda’ (2022) 51:1 Industrial Law Journal 166</w:t>
      </w:r>
    </w:p>
    <w:p w14:paraId="6432AD33" w14:textId="77777777" w:rsidR="009C419C" w:rsidRDefault="009C419C" w:rsidP="000246C1">
      <w:pPr>
        <w:rPr>
          <w:rFonts w:ascii="Calibri" w:eastAsia="Calibri" w:hAnsi="Calibri" w:cs="Calibri"/>
          <w:color w:val="000000"/>
          <w:sz w:val="22"/>
          <w:szCs w:val="22"/>
          <w:lang w:val="en-GB"/>
        </w:rPr>
      </w:pPr>
    </w:p>
    <w:p w14:paraId="267E2EE8" w14:textId="3CA99FAA" w:rsidR="009C419C" w:rsidRPr="009C419C" w:rsidRDefault="009C419C" w:rsidP="000246C1">
      <w:pPr>
        <w:rPr>
          <w:rFonts w:ascii="Calibri" w:eastAsia="Calibri" w:hAnsi="Calibri" w:cs="Calibri"/>
          <w:sz w:val="22"/>
          <w:szCs w:val="22"/>
          <w:lang w:val="en-GB"/>
        </w:rPr>
      </w:pPr>
      <w:r w:rsidRPr="007072A7">
        <w:rPr>
          <w:rFonts w:ascii="Calibri" w:eastAsia="Calibri" w:hAnsi="Calibri" w:cs="Calibri"/>
          <w:sz w:val="22"/>
          <w:szCs w:val="22"/>
          <w:lang w:val="en-GB"/>
        </w:rPr>
        <w:t>Gaweł</w:t>
      </w:r>
      <w:r>
        <w:rPr>
          <w:rFonts w:ascii="Calibri" w:eastAsia="Calibri" w:hAnsi="Calibri" w:cs="Calibri"/>
          <w:sz w:val="22"/>
          <w:szCs w:val="22"/>
          <w:lang w:val="en-GB"/>
        </w:rPr>
        <w:t xml:space="preserve"> A.</w:t>
      </w:r>
      <w:r w:rsidRPr="007072A7">
        <w:rPr>
          <w:rFonts w:ascii="Calibri" w:eastAsia="Calibri" w:hAnsi="Calibri" w:cs="Calibri"/>
          <w:sz w:val="22"/>
          <w:szCs w:val="22"/>
          <w:lang w:val="en-GB"/>
        </w:rPr>
        <w:t>, Mroczek-Dąbrowska</w:t>
      </w:r>
      <w:r>
        <w:rPr>
          <w:rFonts w:ascii="Calibri" w:eastAsia="Calibri" w:hAnsi="Calibri" w:cs="Calibri"/>
          <w:sz w:val="22"/>
          <w:szCs w:val="22"/>
          <w:lang w:val="en-GB"/>
        </w:rPr>
        <w:t xml:space="preserve"> K.</w:t>
      </w:r>
      <w:r w:rsidRPr="007072A7">
        <w:rPr>
          <w:rFonts w:ascii="Calibri" w:eastAsia="Calibri" w:hAnsi="Calibri" w:cs="Calibri"/>
          <w:sz w:val="22"/>
          <w:szCs w:val="22"/>
          <w:lang w:val="en-GB"/>
        </w:rPr>
        <w:t>, ‘Gender pay gap in explaining female entrepreneurship – industry perspective of selected European countries’ (2021) 43(9) International Journal of Manpower, 42.</w:t>
      </w:r>
    </w:p>
    <w:p w14:paraId="6E457338" w14:textId="77777777" w:rsidR="00E36EC1" w:rsidRDefault="00E36EC1" w:rsidP="000246C1">
      <w:pPr>
        <w:rPr>
          <w:rFonts w:ascii="Calibri" w:eastAsia="Calibri" w:hAnsi="Calibri" w:cs="Calibri"/>
          <w:color w:val="000000"/>
          <w:sz w:val="22"/>
          <w:szCs w:val="22"/>
          <w:lang w:val="en-GB"/>
        </w:rPr>
      </w:pPr>
    </w:p>
    <w:p w14:paraId="43D78682" w14:textId="1BC994EC" w:rsidR="00E36EC1" w:rsidRPr="00E36EC1" w:rsidRDefault="00E36EC1" w:rsidP="000246C1">
      <w:pPr>
        <w:rPr>
          <w:rFonts w:ascii="Calibri" w:eastAsia="Calibri" w:hAnsi="Calibri" w:cs="Calibri"/>
          <w:sz w:val="22"/>
          <w:szCs w:val="22"/>
          <w:lang w:val="en-GB"/>
        </w:rPr>
      </w:pPr>
      <w:r w:rsidRPr="00D17768">
        <w:rPr>
          <w:rFonts w:ascii="Calibri" w:eastAsia="Calibri" w:hAnsi="Calibri" w:cs="Calibri"/>
          <w:sz w:val="22"/>
          <w:szCs w:val="22"/>
          <w:lang w:val="en-GB"/>
        </w:rPr>
        <w:t>Hirsch</w:t>
      </w:r>
      <w:r>
        <w:rPr>
          <w:rFonts w:ascii="Calibri" w:eastAsia="Calibri" w:hAnsi="Calibri" w:cs="Calibri"/>
          <w:sz w:val="22"/>
          <w:szCs w:val="22"/>
          <w:lang w:val="en-GB"/>
        </w:rPr>
        <w:t xml:space="preserve"> B.,</w:t>
      </w:r>
      <w:r w:rsidRPr="00D17768">
        <w:rPr>
          <w:rFonts w:ascii="Calibri" w:eastAsia="Calibri" w:hAnsi="Calibri" w:cs="Calibri"/>
          <w:sz w:val="22"/>
          <w:szCs w:val="22"/>
          <w:lang w:val="en-GB"/>
        </w:rPr>
        <w:t xml:space="preserve"> and Lentge</w:t>
      </w:r>
      <w:r>
        <w:rPr>
          <w:rFonts w:ascii="Calibri" w:eastAsia="Calibri" w:hAnsi="Calibri" w:cs="Calibri"/>
          <w:sz w:val="22"/>
          <w:szCs w:val="22"/>
          <w:lang w:val="en-GB"/>
        </w:rPr>
        <w:t xml:space="preserve"> P.</w:t>
      </w:r>
      <w:r w:rsidRPr="00D17768">
        <w:rPr>
          <w:rFonts w:ascii="Calibri" w:eastAsia="Calibri" w:hAnsi="Calibri" w:cs="Calibri"/>
          <w:sz w:val="22"/>
          <w:szCs w:val="22"/>
          <w:lang w:val="en-GB"/>
        </w:rPr>
        <w:t>, ‘Non-base compensation and the gender pay gap’ (2022) 36 Labour 277</w:t>
      </w:r>
    </w:p>
    <w:p w14:paraId="2F060615" w14:textId="77777777" w:rsidR="00E36EC1" w:rsidRDefault="00E36EC1" w:rsidP="000246C1">
      <w:pPr>
        <w:rPr>
          <w:rFonts w:ascii="Calibri" w:eastAsia="Calibri" w:hAnsi="Calibri" w:cs="Calibri"/>
          <w:color w:val="000000"/>
          <w:sz w:val="22"/>
          <w:szCs w:val="22"/>
          <w:lang w:val="en-GB"/>
        </w:rPr>
      </w:pPr>
    </w:p>
    <w:p w14:paraId="5F0F4E36" w14:textId="77777777" w:rsidR="00E36EC1" w:rsidRDefault="00E36EC1" w:rsidP="00E36EC1">
      <w:pPr>
        <w:rPr>
          <w:rFonts w:ascii="Calibri" w:eastAsia="Calibri" w:hAnsi="Calibri" w:cs="Calibri"/>
          <w:color w:val="000000"/>
          <w:sz w:val="22"/>
          <w:szCs w:val="22"/>
          <w:lang w:val="en-GB"/>
        </w:rPr>
      </w:pPr>
      <w:r w:rsidRPr="00B66C25">
        <w:rPr>
          <w:rFonts w:ascii="Calibri" w:eastAsia="Calibri" w:hAnsi="Calibri" w:cs="Calibri"/>
          <w:color w:val="000000"/>
          <w:sz w:val="22"/>
          <w:szCs w:val="22"/>
          <w:lang w:val="en-GB"/>
        </w:rPr>
        <w:t>Jaquot,</w:t>
      </w:r>
      <w:r>
        <w:rPr>
          <w:rFonts w:ascii="Calibri" w:eastAsia="Calibri" w:hAnsi="Calibri" w:cs="Calibri"/>
          <w:color w:val="000000"/>
          <w:sz w:val="22"/>
          <w:szCs w:val="22"/>
          <w:lang w:val="en-GB"/>
        </w:rPr>
        <w:t xml:space="preserve"> S.,</w:t>
      </w:r>
      <w:r w:rsidRPr="00B66C25">
        <w:rPr>
          <w:rFonts w:ascii="Calibri" w:eastAsia="Calibri" w:hAnsi="Calibri" w:cs="Calibri"/>
          <w:color w:val="000000"/>
          <w:sz w:val="22"/>
          <w:szCs w:val="22"/>
          <w:lang w:val="en-GB"/>
        </w:rPr>
        <w:t xml:space="preserve"> </w:t>
      </w:r>
      <w:r w:rsidRPr="00B66C25">
        <w:rPr>
          <w:rFonts w:ascii="Calibri" w:eastAsia="Calibri" w:hAnsi="Calibri" w:cs="Calibri"/>
          <w:i/>
          <w:color w:val="000000"/>
          <w:sz w:val="22"/>
          <w:szCs w:val="22"/>
          <w:lang w:val="en-GB"/>
        </w:rPr>
        <w:t xml:space="preserve">Transformation in EU Gender Equality: from emergence to dismantling </w:t>
      </w:r>
      <w:r w:rsidRPr="00B66C25">
        <w:rPr>
          <w:rFonts w:ascii="Calibri" w:eastAsia="Calibri" w:hAnsi="Calibri" w:cs="Calibri"/>
          <w:color w:val="000000"/>
          <w:sz w:val="22"/>
          <w:szCs w:val="22"/>
          <w:lang w:val="en-GB"/>
        </w:rPr>
        <w:t>(Palgrave 2015) 19</w:t>
      </w:r>
    </w:p>
    <w:p w14:paraId="6241B120" w14:textId="77777777" w:rsidR="00E36EC1" w:rsidRDefault="00E36EC1" w:rsidP="00E36EC1">
      <w:pPr>
        <w:rPr>
          <w:rFonts w:ascii="Calibri" w:eastAsia="Calibri" w:hAnsi="Calibri" w:cs="Calibri"/>
          <w:color w:val="000000"/>
          <w:sz w:val="22"/>
          <w:szCs w:val="22"/>
          <w:lang w:val="en-GB"/>
        </w:rPr>
      </w:pPr>
    </w:p>
    <w:p w14:paraId="43800E51" w14:textId="6D0CF63A" w:rsidR="00E36EC1" w:rsidRPr="00E36EC1" w:rsidRDefault="00E36EC1" w:rsidP="00E36EC1">
      <w:pPr>
        <w:rPr>
          <w:rFonts w:ascii="Calibri" w:eastAsia="Calibri" w:hAnsi="Calibri" w:cs="Calibri"/>
          <w:sz w:val="22"/>
          <w:szCs w:val="22"/>
          <w:lang w:val="en-GB"/>
        </w:rPr>
      </w:pPr>
      <w:r w:rsidRPr="00F31BFA">
        <w:rPr>
          <w:rFonts w:ascii="Calibri" w:eastAsia="Calibri" w:hAnsi="Calibri" w:cs="Calibri"/>
          <w:sz w:val="22"/>
          <w:szCs w:val="22"/>
          <w:lang w:val="en-GB"/>
        </w:rPr>
        <w:t>Leythienne</w:t>
      </w:r>
      <w:r>
        <w:rPr>
          <w:rFonts w:ascii="Calibri" w:eastAsia="Calibri" w:hAnsi="Calibri" w:cs="Calibri"/>
          <w:sz w:val="22"/>
          <w:szCs w:val="22"/>
          <w:lang w:val="en-GB"/>
        </w:rPr>
        <w:t xml:space="preserve"> D.,</w:t>
      </w:r>
      <w:r w:rsidRPr="00F31BFA">
        <w:rPr>
          <w:rFonts w:ascii="Calibri" w:eastAsia="Calibri" w:hAnsi="Calibri" w:cs="Calibri"/>
          <w:sz w:val="22"/>
          <w:szCs w:val="22"/>
          <w:lang w:val="en-GB"/>
        </w:rPr>
        <w:t xml:space="preserve"> and Ronkowski</w:t>
      </w:r>
      <w:r>
        <w:rPr>
          <w:rFonts w:ascii="Calibri" w:eastAsia="Calibri" w:hAnsi="Calibri" w:cs="Calibri"/>
          <w:sz w:val="22"/>
          <w:szCs w:val="22"/>
          <w:lang w:val="en-GB"/>
        </w:rPr>
        <w:t xml:space="preserve"> P.</w:t>
      </w:r>
      <w:r w:rsidRPr="00F31BFA">
        <w:rPr>
          <w:rFonts w:ascii="Calibri" w:eastAsia="Calibri" w:hAnsi="Calibri" w:cs="Calibri"/>
          <w:sz w:val="22"/>
          <w:szCs w:val="22"/>
          <w:lang w:val="en-GB"/>
        </w:rPr>
        <w:t xml:space="preserve">, ‘A decomposition of the unadjusted gender pay gap using Structure of Earnings Survey data – 2018 Edition’ (2018) </w:t>
      </w:r>
      <w:r w:rsidRPr="00F31BFA">
        <w:rPr>
          <w:rFonts w:ascii="Calibri" w:eastAsia="Calibri" w:hAnsi="Calibri" w:cs="Calibri"/>
          <w:sz w:val="22"/>
          <w:szCs w:val="22"/>
          <w:lang w:val="en-GB"/>
        </w:rPr>
        <w:lastRenderedPageBreak/>
        <w:t>&lt;</w:t>
      </w:r>
      <w:hyperlink r:id="rId26">
        <w:r w:rsidRPr="00F31BFA">
          <w:rPr>
            <w:rStyle w:val="Hyperlink"/>
            <w:rFonts w:ascii="Calibri" w:eastAsia="Calibri" w:hAnsi="Calibri" w:cs="Calibri"/>
            <w:sz w:val="22"/>
            <w:szCs w:val="22"/>
            <w:lang w:val="en-GB"/>
          </w:rPr>
          <w:t>https://ec.europa.eu/eurostat/documents/3888793/8979317/KS-TC-18-003-EN-N.pdf/3a6c9295-5e66-4b79-b009-ea1604770676?t=1528790952000</w:t>
        </w:r>
      </w:hyperlink>
      <w:r w:rsidRPr="00F31BFA">
        <w:rPr>
          <w:rFonts w:ascii="Calibri" w:eastAsia="Calibri" w:hAnsi="Calibri" w:cs="Calibri"/>
          <w:sz w:val="22"/>
          <w:szCs w:val="22"/>
          <w:lang w:val="en-GB"/>
        </w:rPr>
        <w:t>&gt; Accessed 15 December 2023</w:t>
      </w:r>
    </w:p>
    <w:p w14:paraId="4C046123" w14:textId="77777777" w:rsidR="00E36EC1" w:rsidRPr="002E7E3A" w:rsidRDefault="00E36EC1" w:rsidP="00BD71B7">
      <w:pPr>
        <w:jc w:val="both"/>
        <w:rPr>
          <w:rFonts w:ascii="Calibri" w:eastAsia="Calibri" w:hAnsi="Calibri" w:cs="Calibri"/>
          <w:color w:val="000000"/>
          <w:sz w:val="22"/>
          <w:szCs w:val="22"/>
          <w:lang w:val="en-GB"/>
        </w:rPr>
      </w:pPr>
    </w:p>
    <w:p w14:paraId="182C00F3" w14:textId="77777777" w:rsidR="000246C1" w:rsidRDefault="000246C1" w:rsidP="000246C1">
      <w:pPr>
        <w:jc w:val="both"/>
        <w:rPr>
          <w:rFonts w:ascii="Calibri" w:eastAsia="Calibri" w:hAnsi="Calibri" w:cs="Calibri"/>
          <w:color w:val="000000"/>
          <w:sz w:val="22"/>
          <w:szCs w:val="22"/>
          <w:lang w:val="en-GB"/>
        </w:rPr>
      </w:pPr>
      <w:r w:rsidRPr="002E7E3A">
        <w:rPr>
          <w:rFonts w:ascii="Calibri" w:eastAsia="Calibri" w:hAnsi="Calibri" w:cs="Calibri"/>
          <w:color w:val="000000"/>
          <w:sz w:val="22"/>
          <w:szCs w:val="22"/>
          <w:lang w:val="en-GB"/>
        </w:rPr>
        <w:t>Lues</w:t>
      </w:r>
      <w:r>
        <w:rPr>
          <w:rFonts w:ascii="Calibri" w:eastAsia="Calibri" w:hAnsi="Calibri" w:cs="Calibri"/>
          <w:color w:val="000000"/>
          <w:sz w:val="22"/>
          <w:szCs w:val="22"/>
          <w:lang w:val="en-GB"/>
        </w:rPr>
        <w:t xml:space="preserve"> L.,</w:t>
      </w:r>
      <w:r w:rsidRPr="002E7E3A">
        <w:rPr>
          <w:rFonts w:ascii="Calibri" w:eastAsia="Calibri" w:hAnsi="Calibri" w:cs="Calibri"/>
          <w:color w:val="000000"/>
          <w:sz w:val="22"/>
          <w:szCs w:val="22"/>
          <w:lang w:val="en-GB"/>
        </w:rPr>
        <w:t xml:space="preserve"> ‘The history of professional African women: a South African perspective’ (2005) 4 no. 1, Interim: Interdisciplinary Journal 103-123</w:t>
      </w:r>
    </w:p>
    <w:p w14:paraId="6F0334EB" w14:textId="77777777" w:rsidR="002E7E3A" w:rsidRPr="002E7E3A" w:rsidRDefault="002E7E3A" w:rsidP="00BD71B7">
      <w:pPr>
        <w:jc w:val="both"/>
        <w:rPr>
          <w:rFonts w:ascii="Calibri" w:eastAsia="Calibri" w:hAnsi="Calibri" w:cs="Calibri"/>
          <w:color w:val="000000"/>
          <w:sz w:val="22"/>
          <w:szCs w:val="22"/>
          <w:lang w:val="en-GB"/>
        </w:rPr>
      </w:pPr>
    </w:p>
    <w:p w14:paraId="2D665045" w14:textId="50BDC42D" w:rsidR="002E7E3A" w:rsidRDefault="002E7E3A" w:rsidP="00BD71B7">
      <w:pPr>
        <w:jc w:val="both"/>
        <w:rPr>
          <w:rFonts w:ascii="Calibri" w:eastAsia="Calibri" w:hAnsi="Calibri" w:cs="Calibri"/>
          <w:color w:val="000000"/>
          <w:sz w:val="22"/>
          <w:szCs w:val="22"/>
          <w:lang w:val="en-GB"/>
        </w:rPr>
      </w:pPr>
      <w:r w:rsidRPr="002E7E3A">
        <w:rPr>
          <w:rFonts w:ascii="Calibri" w:eastAsia="Calibri" w:hAnsi="Calibri" w:cs="Calibri"/>
          <w:color w:val="000000"/>
          <w:sz w:val="22"/>
          <w:szCs w:val="22"/>
          <w:lang w:val="en-GB"/>
        </w:rPr>
        <w:t>Maziya</w:t>
      </w:r>
      <w:r w:rsidR="00602F05">
        <w:rPr>
          <w:rFonts w:ascii="Calibri" w:eastAsia="Calibri" w:hAnsi="Calibri" w:cs="Calibri"/>
          <w:color w:val="000000"/>
          <w:sz w:val="22"/>
          <w:szCs w:val="22"/>
          <w:lang w:val="en-GB"/>
        </w:rPr>
        <w:t xml:space="preserve"> M.,</w:t>
      </w:r>
      <w:r w:rsidRPr="002E7E3A">
        <w:rPr>
          <w:rFonts w:ascii="Calibri" w:eastAsia="Calibri" w:hAnsi="Calibri" w:cs="Calibri"/>
          <w:color w:val="000000"/>
          <w:sz w:val="22"/>
          <w:szCs w:val="22"/>
          <w:lang w:val="en-GB"/>
        </w:rPr>
        <w:t xml:space="preserve"> ‘Contemporary Labour Market Policy and Poverty in South Africa’ [1999] No. 99/34 DPRU University of Cape Town 2</w:t>
      </w:r>
    </w:p>
    <w:p w14:paraId="6ACDC70A" w14:textId="77777777" w:rsidR="000246C1" w:rsidRDefault="000246C1" w:rsidP="00BD71B7">
      <w:pPr>
        <w:jc w:val="both"/>
        <w:rPr>
          <w:rFonts w:ascii="Calibri" w:eastAsia="Calibri" w:hAnsi="Calibri" w:cs="Calibri"/>
          <w:color w:val="000000"/>
          <w:sz w:val="22"/>
          <w:szCs w:val="22"/>
          <w:lang w:val="en-GB"/>
        </w:rPr>
      </w:pPr>
    </w:p>
    <w:p w14:paraId="53660C57" w14:textId="1B19EEE2" w:rsidR="000246C1" w:rsidRDefault="000246C1" w:rsidP="00BD71B7">
      <w:pPr>
        <w:jc w:val="both"/>
        <w:rPr>
          <w:rFonts w:ascii="Calibri" w:eastAsia="Calibri" w:hAnsi="Calibri" w:cs="Calibri"/>
          <w:color w:val="000000"/>
          <w:sz w:val="22"/>
          <w:szCs w:val="22"/>
          <w:lang w:val="en-GB"/>
        </w:rPr>
      </w:pPr>
      <w:r w:rsidRPr="001D6633">
        <w:rPr>
          <w:rFonts w:ascii="Calibri" w:eastAsia="Calibri" w:hAnsi="Calibri" w:cs="Calibri"/>
          <w:color w:val="000000"/>
          <w:sz w:val="22"/>
          <w:szCs w:val="22"/>
          <w:lang w:val="en-GB"/>
        </w:rPr>
        <w:t>Musetsho</w:t>
      </w:r>
      <w:r>
        <w:rPr>
          <w:rFonts w:ascii="Calibri" w:eastAsia="Calibri" w:hAnsi="Calibri" w:cs="Calibri"/>
          <w:color w:val="000000"/>
          <w:sz w:val="22"/>
          <w:szCs w:val="22"/>
          <w:lang w:val="en-GB"/>
        </w:rPr>
        <w:t xml:space="preserve"> M.,</w:t>
      </w:r>
      <w:r w:rsidRPr="001D6633">
        <w:rPr>
          <w:rFonts w:ascii="Calibri" w:eastAsia="Calibri" w:hAnsi="Calibri" w:cs="Calibri"/>
          <w:color w:val="000000"/>
          <w:sz w:val="22"/>
          <w:szCs w:val="22"/>
          <w:lang w:val="en-GB"/>
        </w:rPr>
        <w:t xml:space="preserve"> Isac</w:t>
      </w:r>
      <w:r>
        <w:rPr>
          <w:rFonts w:ascii="Calibri" w:eastAsia="Calibri" w:hAnsi="Calibri" w:cs="Calibri"/>
          <w:color w:val="000000"/>
          <w:sz w:val="22"/>
          <w:szCs w:val="22"/>
          <w:lang w:val="en-GB"/>
        </w:rPr>
        <w:t xml:space="preserve"> N.,</w:t>
      </w:r>
      <w:r w:rsidRPr="001D6633">
        <w:rPr>
          <w:rFonts w:ascii="Calibri" w:eastAsia="Calibri" w:hAnsi="Calibri" w:cs="Calibri"/>
          <w:color w:val="000000"/>
          <w:sz w:val="22"/>
          <w:szCs w:val="22"/>
          <w:lang w:val="en-GB"/>
        </w:rPr>
        <w:t xml:space="preserve"> and Dobrin</w:t>
      </w:r>
      <w:r>
        <w:rPr>
          <w:rFonts w:ascii="Calibri" w:eastAsia="Calibri" w:hAnsi="Calibri" w:cs="Calibri"/>
          <w:color w:val="000000"/>
          <w:sz w:val="22"/>
          <w:szCs w:val="22"/>
          <w:lang w:val="en-GB"/>
        </w:rPr>
        <w:t xml:space="preserve"> C.</w:t>
      </w:r>
      <w:r w:rsidRPr="001D6633">
        <w:rPr>
          <w:rFonts w:ascii="Calibri" w:eastAsia="Calibri" w:hAnsi="Calibri" w:cs="Calibri"/>
          <w:color w:val="000000"/>
          <w:sz w:val="22"/>
          <w:szCs w:val="22"/>
          <w:lang w:val="en-GB"/>
        </w:rPr>
        <w:t>, ‘Gender Inequalities in the Workplace: Case Study of South Africa’ (2021) 6 no. 1, Management Economic Review 70</w:t>
      </w:r>
    </w:p>
    <w:p w14:paraId="08523BB6" w14:textId="77777777" w:rsidR="009C419C" w:rsidRDefault="009C419C" w:rsidP="00BD71B7">
      <w:pPr>
        <w:jc w:val="both"/>
        <w:rPr>
          <w:rFonts w:ascii="Calibri" w:eastAsia="Calibri" w:hAnsi="Calibri" w:cs="Calibri"/>
          <w:color w:val="000000"/>
          <w:sz w:val="22"/>
          <w:szCs w:val="22"/>
          <w:lang w:val="en-GB"/>
        </w:rPr>
      </w:pPr>
    </w:p>
    <w:p w14:paraId="2B4E1A6D" w14:textId="5702B0B5" w:rsidR="009C419C" w:rsidRPr="009C419C" w:rsidRDefault="009C419C" w:rsidP="009C419C">
      <w:pPr>
        <w:rPr>
          <w:rFonts w:ascii="Calibri" w:eastAsia="Calibri" w:hAnsi="Calibri" w:cs="Calibri"/>
          <w:sz w:val="22"/>
          <w:szCs w:val="22"/>
          <w:lang w:val="en-GB"/>
        </w:rPr>
      </w:pPr>
      <w:r w:rsidRPr="00EA2029">
        <w:rPr>
          <w:rFonts w:ascii="Calibri" w:eastAsia="Calibri" w:hAnsi="Calibri" w:cs="Calibri"/>
          <w:sz w:val="22"/>
          <w:szCs w:val="22"/>
          <w:lang w:val="en-GB"/>
        </w:rPr>
        <w:t>Nicolás-Martínez</w:t>
      </w:r>
      <w:r>
        <w:rPr>
          <w:rFonts w:ascii="Calibri" w:eastAsia="Calibri" w:hAnsi="Calibri" w:cs="Calibri"/>
          <w:sz w:val="22"/>
          <w:szCs w:val="22"/>
          <w:lang w:val="en-GB"/>
        </w:rPr>
        <w:t xml:space="preserve"> C.</w:t>
      </w:r>
      <w:r w:rsidRPr="00EA2029">
        <w:rPr>
          <w:rFonts w:ascii="Calibri" w:eastAsia="Calibri" w:hAnsi="Calibri" w:cs="Calibri"/>
          <w:sz w:val="22"/>
          <w:szCs w:val="22"/>
          <w:lang w:val="en-GB"/>
        </w:rPr>
        <w:t>, López-Martínez</w:t>
      </w:r>
      <w:r>
        <w:rPr>
          <w:rFonts w:ascii="Calibri" w:eastAsia="Calibri" w:hAnsi="Calibri" w:cs="Calibri"/>
          <w:sz w:val="22"/>
          <w:szCs w:val="22"/>
          <w:lang w:val="en-GB"/>
        </w:rPr>
        <w:t xml:space="preserve"> M.,</w:t>
      </w:r>
      <w:r w:rsidRPr="00EA2029">
        <w:rPr>
          <w:rFonts w:ascii="Calibri" w:eastAsia="Calibri" w:hAnsi="Calibri" w:cs="Calibri"/>
          <w:sz w:val="22"/>
          <w:szCs w:val="22"/>
          <w:lang w:val="en-GB"/>
        </w:rPr>
        <w:t xml:space="preserve"> and Riquelme-Perea</w:t>
      </w:r>
      <w:r>
        <w:rPr>
          <w:rFonts w:ascii="Calibri" w:eastAsia="Calibri" w:hAnsi="Calibri" w:cs="Calibri"/>
          <w:sz w:val="22"/>
          <w:szCs w:val="22"/>
          <w:lang w:val="en-GB"/>
        </w:rPr>
        <w:t xml:space="preserve"> P.J.</w:t>
      </w:r>
      <w:r w:rsidRPr="00EA2029">
        <w:rPr>
          <w:rFonts w:ascii="Calibri" w:eastAsia="Calibri" w:hAnsi="Calibri" w:cs="Calibri"/>
          <w:sz w:val="22"/>
          <w:szCs w:val="22"/>
          <w:lang w:val="en-GB"/>
        </w:rPr>
        <w:t>, ‘Gender and work in Europe: towards the end of inequality?’ (2023) Journal of Contemporary European Studies 1</w:t>
      </w:r>
    </w:p>
    <w:p w14:paraId="4094D0A7" w14:textId="77777777" w:rsidR="0068319A" w:rsidRDefault="0068319A" w:rsidP="002E7E3A">
      <w:pPr>
        <w:jc w:val="both"/>
        <w:rPr>
          <w:rFonts w:ascii="Calibri" w:eastAsia="Calibri" w:hAnsi="Calibri" w:cs="Calibri"/>
          <w:color w:val="000000"/>
          <w:sz w:val="22"/>
          <w:szCs w:val="22"/>
          <w:lang w:val="en-GB"/>
        </w:rPr>
      </w:pPr>
    </w:p>
    <w:p w14:paraId="1426AF53" w14:textId="3C80FE36" w:rsidR="001D6633" w:rsidRDefault="001D6633" w:rsidP="001D6633">
      <w:pPr>
        <w:jc w:val="both"/>
        <w:rPr>
          <w:rFonts w:ascii="Calibri" w:eastAsia="Calibri" w:hAnsi="Calibri" w:cs="Calibri"/>
          <w:color w:val="000000"/>
          <w:sz w:val="22"/>
          <w:szCs w:val="22"/>
          <w:lang w:val="en-GB"/>
        </w:rPr>
      </w:pPr>
      <w:r w:rsidRPr="001D6633">
        <w:rPr>
          <w:rFonts w:ascii="Calibri" w:eastAsia="Calibri" w:hAnsi="Calibri" w:cs="Calibri"/>
          <w:color w:val="000000"/>
          <w:sz w:val="22"/>
          <w:szCs w:val="22"/>
          <w:lang w:val="en-GB"/>
        </w:rPr>
        <w:t>Ntuli</w:t>
      </w:r>
      <w:r w:rsidR="0068319A">
        <w:rPr>
          <w:rFonts w:ascii="Calibri" w:eastAsia="Calibri" w:hAnsi="Calibri" w:cs="Calibri"/>
          <w:color w:val="000000"/>
          <w:sz w:val="22"/>
          <w:szCs w:val="22"/>
          <w:lang w:val="en-GB"/>
        </w:rPr>
        <w:t xml:space="preserve"> M.,</w:t>
      </w:r>
      <w:r w:rsidRPr="001D6633">
        <w:rPr>
          <w:rFonts w:ascii="Calibri" w:eastAsia="Calibri" w:hAnsi="Calibri" w:cs="Calibri"/>
          <w:color w:val="000000"/>
          <w:sz w:val="22"/>
          <w:szCs w:val="22"/>
          <w:lang w:val="en-GB"/>
        </w:rPr>
        <w:t xml:space="preserve"> ‘Exploring gender wage “discrimination” in South Africa, 1995-2004: A Quantile Regression Approach in Ravi Kanbur and Jan Svejnar (eds), </w:t>
      </w:r>
      <w:r w:rsidRPr="001D6633">
        <w:rPr>
          <w:rFonts w:ascii="Calibri" w:eastAsia="Calibri" w:hAnsi="Calibri" w:cs="Calibri"/>
          <w:i/>
          <w:color w:val="000000"/>
          <w:sz w:val="22"/>
          <w:szCs w:val="22"/>
          <w:lang w:val="en-GB"/>
        </w:rPr>
        <w:t>Labor Markets and Economic Development</w:t>
      </w:r>
      <w:r w:rsidRPr="001D6633">
        <w:rPr>
          <w:rFonts w:ascii="Calibri" w:eastAsia="Calibri" w:hAnsi="Calibri" w:cs="Calibri"/>
          <w:color w:val="000000"/>
          <w:sz w:val="22"/>
          <w:szCs w:val="22"/>
          <w:lang w:val="en-GB"/>
        </w:rPr>
        <w:t>, (Routledge 2009) 468</w:t>
      </w:r>
    </w:p>
    <w:p w14:paraId="54242166" w14:textId="77777777" w:rsidR="00AE064A" w:rsidRDefault="00AE064A" w:rsidP="001D6633">
      <w:pPr>
        <w:jc w:val="both"/>
        <w:rPr>
          <w:rFonts w:ascii="Calibri" w:eastAsia="Calibri" w:hAnsi="Calibri" w:cs="Calibri"/>
          <w:color w:val="000000"/>
          <w:sz w:val="22"/>
          <w:szCs w:val="22"/>
          <w:lang w:val="en-GB"/>
        </w:rPr>
      </w:pPr>
    </w:p>
    <w:p w14:paraId="7E1CFB20" w14:textId="443FC3E7" w:rsidR="00AE064A" w:rsidRPr="00AE064A" w:rsidRDefault="00AE064A" w:rsidP="00AE064A">
      <w:pPr>
        <w:rPr>
          <w:rFonts w:ascii="Calibri" w:eastAsia="Calibri" w:hAnsi="Calibri" w:cs="Calibri"/>
          <w:sz w:val="22"/>
          <w:szCs w:val="22"/>
          <w:lang w:val="en-GB"/>
        </w:rPr>
      </w:pPr>
      <w:r w:rsidRPr="00F31BFA">
        <w:rPr>
          <w:rFonts w:ascii="Calibri" w:eastAsia="Calibri" w:hAnsi="Calibri" w:cs="Calibri"/>
          <w:sz w:val="22"/>
          <w:szCs w:val="22"/>
          <w:lang w:val="en-GB"/>
        </w:rPr>
        <w:t>OECD, Gender wage gap (indicator), (2024). doi: 10.1787/7cee77aa-en &lt;</w:t>
      </w:r>
      <w:hyperlink r:id="rId27">
        <w:r w:rsidRPr="00F31BFA">
          <w:rPr>
            <w:rStyle w:val="Hyperlink"/>
            <w:rFonts w:ascii="Calibri" w:eastAsia="Calibri" w:hAnsi="Calibri" w:cs="Calibri"/>
            <w:sz w:val="22"/>
            <w:szCs w:val="22"/>
            <w:lang w:val="en-GB"/>
          </w:rPr>
          <w:t>https://data.oecd.org/earnwage/gender-wage-gap.htm</w:t>
        </w:r>
      </w:hyperlink>
      <w:r w:rsidRPr="00F31BFA">
        <w:rPr>
          <w:rFonts w:ascii="Calibri" w:eastAsia="Calibri" w:hAnsi="Calibri" w:cs="Calibri"/>
          <w:sz w:val="22"/>
          <w:szCs w:val="22"/>
          <w:lang w:val="en-GB"/>
        </w:rPr>
        <w:t>&gt; Accessed 8 January 2024</w:t>
      </w:r>
    </w:p>
    <w:p w14:paraId="22869CF7" w14:textId="77777777" w:rsidR="00D17768" w:rsidRDefault="00D17768" w:rsidP="00D17768">
      <w:pPr>
        <w:rPr>
          <w:rFonts w:ascii="Calibri" w:eastAsia="Calibri" w:hAnsi="Calibri" w:cs="Calibri"/>
          <w:sz w:val="22"/>
          <w:szCs w:val="22"/>
          <w:lang w:val="en-GB"/>
        </w:rPr>
      </w:pPr>
    </w:p>
    <w:p w14:paraId="732892DC" w14:textId="470F5967" w:rsidR="00D17768" w:rsidRDefault="00D17768" w:rsidP="00D17768">
      <w:pPr>
        <w:rPr>
          <w:rFonts w:ascii="Calibri" w:eastAsia="Calibri" w:hAnsi="Calibri" w:cs="Calibri"/>
          <w:sz w:val="22"/>
          <w:szCs w:val="22"/>
          <w:lang w:val="en-GB"/>
        </w:rPr>
      </w:pPr>
      <w:r w:rsidRPr="00D17768">
        <w:rPr>
          <w:rFonts w:ascii="Calibri" w:eastAsia="Calibri" w:hAnsi="Calibri" w:cs="Calibri"/>
          <w:sz w:val="22"/>
          <w:szCs w:val="22"/>
          <w:lang w:val="en-GB"/>
        </w:rPr>
        <w:t>Perugini</w:t>
      </w:r>
      <w:r w:rsidR="00475929">
        <w:rPr>
          <w:rFonts w:ascii="Calibri" w:eastAsia="Calibri" w:hAnsi="Calibri" w:cs="Calibri"/>
          <w:sz w:val="22"/>
          <w:szCs w:val="22"/>
          <w:lang w:val="en-GB"/>
        </w:rPr>
        <w:t xml:space="preserve"> C.,</w:t>
      </w:r>
      <w:r w:rsidRPr="00D17768">
        <w:rPr>
          <w:rFonts w:ascii="Calibri" w:eastAsia="Calibri" w:hAnsi="Calibri" w:cs="Calibri"/>
          <w:sz w:val="22"/>
          <w:szCs w:val="22"/>
          <w:lang w:val="en-GB"/>
        </w:rPr>
        <w:t xml:space="preserve"> and Pompei</w:t>
      </w:r>
      <w:r w:rsidR="00475929">
        <w:rPr>
          <w:rFonts w:ascii="Calibri" w:eastAsia="Calibri" w:hAnsi="Calibri" w:cs="Calibri"/>
          <w:sz w:val="22"/>
          <w:szCs w:val="22"/>
          <w:lang w:val="en-GB"/>
        </w:rPr>
        <w:t xml:space="preserve"> F.</w:t>
      </w:r>
      <w:r w:rsidRPr="00D17768">
        <w:rPr>
          <w:rFonts w:ascii="Calibri" w:eastAsia="Calibri" w:hAnsi="Calibri" w:cs="Calibri"/>
          <w:sz w:val="22"/>
          <w:szCs w:val="22"/>
          <w:lang w:val="en-GB"/>
        </w:rPr>
        <w:t>, ‘Pay incentives, intangibles, and gender wage inequality’ (2024) 31:6 Industry and Innovation 695</w:t>
      </w:r>
    </w:p>
    <w:p w14:paraId="5E3C9AD0" w14:textId="77777777" w:rsidR="009C419C" w:rsidRDefault="009C419C" w:rsidP="00D17768">
      <w:pPr>
        <w:rPr>
          <w:rFonts w:ascii="Calibri" w:eastAsia="Calibri" w:hAnsi="Calibri" w:cs="Calibri"/>
          <w:sz w:val="22"/>
          <w:szCs w:val="22"/>
          <w:lang w:val="en-GB"/>
        </w:rPr>
      </w:pPr>
    </w:p>
    <w:p w14:paraId="0AEC9B3F" w14:textId="77777777" w:rsidR="009C419C" w:rsidRDefault="009C419C" w:rsidP="009C419C">
      <w:pPr>
        <w:rPr>
          <w:rFonts w:ascii="Calibri" w:eastAsia="Calibri" w:hAnsi="Calibri" w:cs="Calibri"/>
          <w:sz w:val="22"/>
          <w:szCs w:val="22"/>
          <w:lang w:val="en-GB"/>
        </w:rPr>
      </w:pPr>
      <w:r w:rsidRPr="00EA2029">
        <w:rPr>
          <w:rFonts w:ascii="Calibri" w:eastAsia="Calibri" w:hAnsi="Calibri" w:cs="Calibri"/>
          <w:sz w:val="22"/>
          <w:szCs w:val="22"/>
          <w:lang w:val="en-GB"/>
        </w:rPr>
        <w:t>Phelps</w:t>
      </w:r>
      <w:r>
        <w:rPr>
          <w:rFonts w:ascii="Calibri" w:eastAsia="Calibri" w:hAnsi="Calibri" w:cs="Calibri"/>
          <w:sz w:val="22"/>
          <w:szCs w:val="22"/>
          <w:lang w:val="en-GB"/>
        </w:rPr>
        <w:t xml:space="preserve"> E.S.</w:t>
      </w:r>
      <w:r w:rsidRPr="00EA2029">
        <w:rPr>
          <w:rFonts w:ascii="Calibri" w:eastAsia="Calibri" w:hAnsi="Calibri" w:cs="Calibri"/>
          <w:sz w:val="22"/>
          <w:szCs w:val="22"/>
          <w:lang w:val="en-GB"/>
        </w:rPr>
        <w:t>, ‘The Statistical Theory of Racism and Sexism’ (1972) 62:4 The American Economic Review 659</w:t>
      </w:r>
    </w:p>
    <w:p w14:paraId="2ED74505" w14:textId="77777777" w:rsidR="00AE064A" w:rsidRDefault="00AE064A" w:rsidP="009C419C">
      <w:pPr>
        <w:rPr>
          <w:rFonts w:ascii="Calibri" w:eastAsia="Calibri" w:hAnsi="Calibri" w:cs="Calibri"/>
          <w:sz w:val="22"/>
          <w:szCs w:val="22"/>
          <w:lang w:val="en-GB"/>
        </w:rPr>
      </w:pPr>
    </w:p>
    <w:p w14:paraId="5FC17A1B" w14:textId="77777777" w:rsidR="00B620BC" w:rsidRDefault="00AE064A" w:rsidP="00AE064A">
      <w:pPr>
        <w:rPr>
          <w:rFonts w:ascii="Calibri" w:eastAsia="Calibri" w:hAnsi="Calibri" w:cs="Calibri"/>
          <w:sz w:val="22"/>
          <w:szCs w:val="22"/>
          <w:lang w:val="en-GB"/>
        </w:rPr>
      </w:pPr>
      <w:r w:rsidRPr="00B620BC">
        <w:rPr>
          <w:rFonts w:ascii="Calibri" w:eastAsia="Calibri" w:hAnsi="Calibri" w:cs="Calibri"/>
          <w:sz w:val="22"/>
          <w:szCs w:val="22"/>
          <w:lang w:val="en-GB"/>
        </w:rPr>
        <w:t xml:space="preserve">RE-WIRING Project: </w:t>
      </w:r>
      <w:hyperlink r:id="rId28">
        <w:r w:rsidRPr="00B620BC">
          <w:rPr>
            <w:rStyle w:val="Hyperlink"/>
            <w:rFonts w:ascii="Calibri" w:eastAsia="Calibri" w:hAnsi="Calibri" w:cs="Calibri"/>
            <w:sz w:val="22"/>
            <w:szCs w:val="22"/>
            <w:lang w:val="en-GB"/>
          </w:rPr>
          <w:t>https://re-wiring.eu</w:t>
        </w:r>
      </w:hyperlink>
      <w:r w:rsidRPr="00B620BC">
        <w:rPr>
          <w:rFonts w:ascii="Calibri" w:eastAsia="Calibri" w:hAnsi="Calibri" w:cs="Calibri"/>
          <w:sz w:val="22"/>
          <w:szCs w:val="22"/>
          <w:lang w:val="en-GB"/>
        </w:rPr>
        <w:t> </w:t>
      </w:r>
    </w:p>
    <w:p w14:paraId="160CA733" w14:textId="77777777" w:rsidR="003346EE" w:rsidRDefault="003346EE" w:rsidP="00AE064A">
      <w:pPr>
        <w:rPr>
          <w:rFonts w:ascii="Calibri" w:eastAsia="Calibri" w:hAnsi="Calibri" w:cs="Calibri"/>
          <w:sz w:val="22"/>
          <w:szCs w:val="22"/>
          <w:lang w:val="en-GB"/>
        </w:rPr>
      </w:pPr>
    </w:p>
    <w:p w14:paraId="374508D4" w14:textId="240F3DA8" w:rsidR="003346EE" w:rsidRDefault="003346EE" w:rsidP="003346EE">
      <w:pPr>
        <w:pBdr>
          <w:top w:val="nil"/>
          <w:left w:val="nil"/>
          <w:bottom w:val="nil"/>
          <w:right w:val="nil"/>
          <w:between w:val="nil"/>
        </w:pBdr>
        <w:rPr>
          <w:rFonts w:ascii="Calibri" w:eastAsia="Calibri" w:hAnsi="Calibri" w:cs="Calibri"/>
          <w:color w:val="000000"/>
          <w:sz w:val="22"/>
          <w:szCs w:val="22"/>
          <w:lang w:val="en-GB"/>
        </w:rPr>
      </w:pPr>
      <w:r w:rsidRPr="003346EE">
        <w:rPr>
          <w:rFonts w:ascii="Calibri" w:eastAsia="Calibri" w:hAnsi="Calibri" w:cs="Calibri"/>
          <w:color w:val="000000"/>
          <w:sz w:val="22"/>
          <w:szCs w:val="22"/>
          <w:lang w:val="en-GB"/>
        </w:rPr>
        <w:t>RE-WIRING</w:t>
      </w:r>
      <w:r>
        <w:rPr>
          <w:rFonts w:ascii="Calibri" w:eastAsia="Calibri" w:hAnsi="Calibri" w:cs="Calibri"/>
          <w:color w:val="000000"/>
          <w:sz w:val="22"/>
          <w:szCs w:val="22"/>
          <w:lang w:val="en-GB"/>
        </w:rPr>
        <w:t>,</w:t>
      </w:r>
      <w:r w:rsidRPr="003346EE">
        <w:rPr>
          <w:rFonts w:ascii="Calibri" w:eastAsia="Calibri" w:hAnsi="Calibri" w:cs="Calibri"/>
          <w:color w:val="000000"/>
          <w:sz w:val="22"/>
          <w:szCs w:val="22"/>
          <w:lang w:val="en-GB"/>
        </w:rPr>
        <w:t xml:space="preserve"> D1.1 ‘A Review of Concepts of Gendered Power Hierarchies and their Taxonomy’ available at: </w:t>
      </w:r>
      <w:hyperlink r:id="rId29">
        <w:r w:rsidRPr="003346EE">
          <w:rPr>
            <w:rFonts w:ascii="Calibri" w:eastAsia="Calibri" w:hAnsi="Calibri" w:cs="Calibri"/>
            <w:color w:val="0563C1"/>
            <w:sz w:val="22"/>
            <w:szCs w:val="22"/>
            <w:u w:val="single"/>
            <w:lang w:val="en-GB"/>
          </w:rPr>
          <w:t>https://re-wiring.eu/wp-content/uploads/2024/01/A-Review-of-Concepts-of-Gendered-Power-Hierarchies-and-their-Taxonomy.300923_compressed.pdf</w:t>
        </w:r>
      </w:hyperlink>
      <w:r w:rsidRPr="003346EE">
        <w:rPr>
          <w:rFonts w:ascii="Calibri" w:eastAsia="Calibri" w:hAnsi="Calibri" w:cs="Calibri"/>
          <w:color w:val="000000"/>
          <w:sz w:val="22"/>
          <w:szCs w:val="22"/>
          <w:lang w:val="en-GB"/>
        </w:rPr>
        <w:t xml:space="preserve"> accessed 20 February 2025</w:t>
      </w:r>
    </w:p>
    <w:p w14:paraId="223683CC" w14:textId="77777777" w:rsidR="003346EE" w:rsidRDefault="003346EE" w:rsidP="003346EE">
      <w:pPr>
        <w:pBdr>
          <w:top w:val="nil"/>
          <w:left w:val="nil"/>
          <w:bottom w:val="nil"/>
          <w:right w:val="nil"/>
          <w:between w:val="nil"/>
        </w:pBdr>
        <w:rPr>
          <w:rFonts w:ascii="Calibri" w:eastAsia="Calibri" w:hAnsi="Calibri" w:cs="Calibri"/>
          <w:color w:val="000000"/>
          <w:sz w:val="22"/>
          <w:szCs w:val="22"/>
          <w:lang w:val="en-GB"/>
        </w:rPr>
      </w:pPr>
    </w:p>
    <w:p w14:paraId="3E6BB964" w14:textId="77BD0CCD" w:rsidR="003346EE" w:rsidRPr="003346EE" w:rsidRDefault="003346EE" w:rsidP="003346EE">
      <w:pPr>
        <w:pBdr>
          <w:top w:val="nil"/>
          <w:left w:val="nil"/>
          <w:bottom w:val="nil"/>
          <w:right w:val="nil"/>
          <w:between w:val="nil"/>
        </w:pBdr>
        <w:rPr>
          <w:rFonts w:ascii="Calibri" w:eastAsia="Calibri" w:hAnsi="Calibri" w:cs="Calibri"/>
          <w:color w:val="000000"/>
          <w:sz w:val="22"/>
          <w:szCs w:val="22"/>
          <w:lang w:val="en-GB"/>
        </w:rPr>
      </w:pPr>
      <w:r w:rsidRPr="003346EE">
        <w:rPr>
          <w:rFonts w:ascii="Calibri" w:eastAsia="Calibri" w:hAnsi="Calibri" w:cs="Calibri"/>
          <w:color w:val="000000"/>
          <w:sz w:val="22"/>
          <w:szCs w:val="22"/>
          <w:lang w:val="en-GB"/>
        </w:rPr>
        <w:t>RE-WIRING</w:t>
      </w:r>
      <w:r>
        <w:rPr>
          <w:rFonts w:ascii="Calibri" w:eastAsia="Calibri" w:hAnsi="Calibri" w:cs="Calibri"/>
          <w:color w:val="000000"/>
          <w:sz w:val="22"/>
          <w:szCs w:val="22"/>
          <w:lang w:val="en-GB"/>
        </w:rPr>
        <w:t>,</w:t>
      </w:r>
      <w:r w:rsidRPr="003346EE">
        <w:rPr>
          <w:rFonts w:ascii="Calibri" w:eastAsia="Calibri" w:hAnsi="Calibri" w:cs="Calibri"/>
          <w:color w:val="000000"/>
          <w:sz w:val="22"/>
          <w:szCs w:val="22"/>
          <w:lang w:val="en-GB"/>
        </w:rPr>
        <w:t xml:space="preserve"> D1.3 – ‘The RE-WIRING Transformative Equality Approach and Research Methodology Template’ available at: </w:t>
      </w:r>
      <w:hyperlink r:id="rId30">
        <w:r w:rsidRPr="003346EE">
          <w:rPr>
            <w:rStyle w:val="Hyperlink"/>
            <w:rFonts w:ascii="Calibri" w:eastAsia="Calibri" w:hAnsi="Calibri" w:cs="Calibri"/>
            <w:sz w:val="22"/>
            <w:szCs w:val="22"/>
            <w:lang w:val="en-GB"/>
          </w:rPr>
          <w:t>https://re-wiring.eu/wp-content/uploads/2025/02/The-RE-WIRING-Transformative-Equality-Approach-And-Research-Methodology-Template.pdf</w:t>
        </w:r>
      </w:hyperlink>
      <w:r w:rsidRPr="003346EE">
        <w:rPr>
          <w:rFonts w:ascii="Calibri" w:eastAsia="Calibri" w:hAnsi="Calibri" w:cs="Calibri"/>
          <w:color w:val="000000"/>
          <w:sz w:val="22"/>
          <w:szCs w:val="22"/>
          <w:lang w:val="en-GB"/>
        </w:rPr>
        <w:t xml:space="preserve"> accessed 21 February 2025</w:t>
      </w:r>
    </w:p>
    <w:p w14:paraId="7DA795F1" w14:textId="77777777" w:rsidR="003346EE" w:rsidRPr="003346EE" w:rsidRDefault="003346EE" w:rsidP="003346EE">
      <w:pPr>
        <w:pBdr>
          <w:top w:val="nil"/>
          <w:left w:val="nil"/>
          <w:bottom w:val="nil"/>
          <w:right w:val="nil"/>
          <w:between w:val="nil"/>
        </w:pBdr>
        <w:rPr>
          <w:rFonts w:ascii="Calibri" w:eastAsia="Calibri" w:hAnsi="Calibri" w:cs="Calibri"/>
          <w:color w:val="000000"/>
          <w:sz w:val="22"/>
          <w:szCs w:val="22"/>
          <w:lang w:val="en-GB"/>
        </w:rPr>
      </w:pPr>
    </w:p>
    <w:p w14:paraId="1A4865F4" w14:textId="6A86EF65" w:rsidR="003346EE" w:rsidRDefault="003346EE" w:rsidP="003346EE">
      <w:pPr>
        <w:pBdr>
          <w:top w:val="nil"/>
          <w:left w:val="nil"/>
          <w:bottom w:val="nil"/>
          <w:right w:val="nil"/>
          <w:between w:val="nil"/>
        </w:pBdr>
        <w:rPr>
          <w:rFonts w:ascii="Calibri" w:eastAsia="Calibri" w:hAnsi="Calibri" w:cs="Calibri"/>
          <w:color w:val="000000"/>
          <w:sz w:val="22"/>
          <w:szCs w:val="22"/>
          <w:lang w:val="en-GB"/>
        </w:rPr>
      </w:pPr>
      <w:r w:rsidRPr="003346EE">
        <w:rPr>
          <w:rFonts w:ascii="Calibri" w:eastAsia="Calibri" w:hAnsi="Calibri" w:cs="Calibri"/>
          <w:color w:val="000000"/>
          <w:sz w:val="22"/>
          <w:szCs w:val="22"/>
          <w:lang w:val="en-GB"/>
        </w:rPr>
        <w:t>RE-WIRING</w:t>
      </w:r>
      <w:r>
        <w:rPr>
          <w:rFonts w:ascii="Calibri" w:eastAsia="Calibri" w:hAnsi="Calibri" w:cs="Calibri"/>
          <w:color w:val="000000"/>
          <w:sz w:val="22"/>
          <w:szCs w:val="22"/>
          <w:lang w:val="en-GB"/>
        </w:rPr>
        <w:t>,</w:t>
      </w:r>
      <w:r w:rsidRPr="003346EE">
        <w:rPr>
          <w:rFonts w:ascii="Calibri" w:eastAsia="Calibri" w:hAnsi="Calibri" w:cs="Calibri"/>
          <w:color w:val="000000"/>
          <w:sz w:val="22"/>
          <w:szCs w:val="22"/>
          <w:lang w:val="en-GB"/>
        </w:rPr>
        <w:t xml:space="preserve"> D2.1 – ‘Working paper on an effective transformative equality strategy towards enhancing women’s representation in decision-making and leadership positions’ available at: </w:t>
      </w:r>
      <w:hyperlink r:id="rId31" w:history="1">
        <w:r w:rsidR="00E37456" w:rsidRPr="0027455F">
          <w:rPr>
            <w:rStyle w:val="Hyperlink"/>
            <w:rFonts w:ascii="Calibri" w:eastAsia="Calibri" w:hAnsi="Calibri" w:cs="Calibri"/>
            <w:sz w:val="22"/>
            <w:szCs w:val="22"/>
            <w:lang w:val="en-GB"/>
          </w:rPr>
          <w:t>https://re-wiring.eu/wp-content/uploads/2025/02/D.2.1-Working-paper-on-an-effective-transformative-equality-strategy-towards-enhancing-womens-representation-in-decision-making-and-leadership-positions.pdf accessed 20 February 2025</w:t>
        </w:r>
      </w:hyperlink>
    </w:p>
    <w:p w14:paraId="3DD59144" w14:textId="77777777" w:rsidR="00E37456" w:rsidRPr="003346EE" w:rsidRDefault="00E37456" w:rsidP="003346EE">
      <w:pPr>
        <w:pBdr>
          <w:top w:val="nil"/>
          <w:left w:val="nil"/>
          <w:bottom w:val="nil"/>
          <w:right w:val="nil"/>
          <w:between w:val="nil"/>
        </w:pBdr>
        <w:rPr>
          <w:color w:val="000000"/>
          <w:sz w:val="22"/>
          <w:szCs w:val="22"/>
          <w:lang w:val="en-GB"/>
        </w:rPr>
      </w:pPr>
    </w:p>
    <w:p w14:paraId="320C8220" w14:textId="77777777" w:rsidR="009C419C" w:rsidRDefault="009C419C" w:rsidP="009C419C">
      <w:pPr>
        <w:rPr>
          <w:rFonts w:ascii="Calibri" w:eastAsia="Calibri" w:hAnsi="Calibri" w:cs="Calibri"/>
          <w:sz w:val="22"/>
          <w:szCs w:val="22"/>
          <w:lang w:val="en-GB"/>
        </w:rPr>
      </w:pPr>
    </w:p>
    <w:p w14:paraId="082AFFF6" w14:textId="3C8A836D" w:rsidR="00E37456" w:rsidRPr="00E37456" w:rsidRDefault="00E37456" w:rsidP="00E37456">
      <w:pPr>
        <w:rPr>
          <w:rFonts w:ascii="Calibri" w:eastAsia="Calibri" w:hAnsi="Calibri" w:cs="Calibri"/>
          <w:sz w:val="22"/>
          <w:szCs w:val="22"/>
          <w:lang w:val="en-GB"/>
        </w:rPr>
      </w:pPr>
      <w:r w:rsidRPr="00E37456">
        <w:rPr>
          <w:rFonts w:ascii="Calibri" w:eastAsia="Calibri" w:hAnsi="Calibri" w:cs="Calibri"/>
          <w:sz w:val="22"/>
          <w:szCs w:val="22"/>
          <w:lang w:val="en-GB"/>
        </w:rPr>
        <w:lastRenderedPageBreak/>
        <w:t>RE-WIRING</w:t>
      </w:r>
      <w:r>
        <w:rPr>
          <w:rFonts w:ascii="Calibri" w:eastAsia="Calibri" w:hAnsi="Calibri" w:cs="Calibri"/>
          <w:sz w:val="22"/>
          <w:szCs w:val="22"/>
          <w:lang w:val="en-GB"/>
        </w:rPr>
        <w:t>,</w:t>
      </w:r>
      <w:r w:rsidRPr="00E37456">
        <w:rPr>
          <w:rFonts w:ascii="Calibri" w:eastAsia="Calibri" w:hAnsi="Calibri" w:cs="Calibri"/>
          <w:sz w:val="22"/>
          <w:szCs w:val="22"/>
          <w:lang w:val="en-GB"/>
        </w:rPr>
        <w:t xml:space="preserve"> D4.3 – Better Practice Map Addressing Work-Life Balance (WLB) Gap available on the RE-WIRING Project Website: </w:t>
      </w:r>
      <w:hyperlink r:id="rId32">
        <w:r w:rsidRPr="00E37456">
          <w:rPr>
            <w:rStyle w:val="Hyperlink"/>
            <w:rFonts w:ascii="Calibri" w:eastAsia="Calibri" w:hAnsi="Calibri" w:cs="Calibri"/>
            <w:sz w:val="22"/>
            <w:szCs w:val="22"/>
            <w:lang w:val="en-GB"/>
          </w:rPr>
          <w:t>https://re-wiring.eu</w:t>
        </w:r>
      </w:hyperlink>
    </w:p>
    <w:p w14:paraId="327F5EE5" w14:textId="77777777" w:rsidR="00E37456" w:rsidRDefault="00E37456" w:rsidP="00D17768">
      <w:pPr>
        <w:rPr>
          <w:rFonts w:ascii="Calibri" w:eastAsia="Calibri" w:hAnsi="Calibri" w:cs="Calibri"/>
          <w:sz w:val="22"/>
          <w:szCs w:val="22"/>
          <w:lang w:val="en-GB"/>
        </w:rPr>
      </w:pPr>
    </w:p>
    <w:p w14:paraId="23BF041A" w14:textId="559AE63C" w:rsidR="00F31BFA" w:rsidRPr="00D17768" w:rsidRDefault="009C419C" w:rsidP="00D17768">
      <w:pPr>
        <w:rPr>
          <w:rFonts w:ascii="Calibri" w:eastAsia="Calibri" w:hAnsi="Calibri" w:cs="Calibri"/>
          <w:sz w:val="22"/>
          <w:szCs w:val="22"/>
          <w:lang w:val="en-GB"/>
        </w:rPr>
      </w:pPr>
      <w:r w:rsidRPr="00EA2029">
        <w:rPr>
          <w:rFonts w:ascii="Calibri" w:eastAsia="Calibri" w:hAnsi="Calibri" w:cs="Calibri"/>
          <w:sz w:val="22"/>
          <w:szCs w:val="22"/>
          <w:lang w:val="en-GB"/>
        </w:rPr>
        <w:t>Scott</w:t>
      </w:r>
      <w:r>
        <w:rPr>
          <w:rFonts w:ascii="Calibri" w:eastAsia="Calibri" w:hAnsi="Calibri" w:cs="Calibri"/>
          <w:sz w:val="22"/>
          <w:szCs w:val="22"/>
          <w:lang w:val="en-GB"/>
        </w:rPr>
        <w:t xml:space="preserve"> R.W.</w:t>
      </w:r>
      <w:r w:rsidRPr="00EA2029">
        <w:rPr>
          <w:rFonts w:ascii="Calibri" w:eastAsia="Calibri" w:hAnsi="Calibri" w:cs="Calibri"/>
          <w:sz w:val="22"/>
          <w:szCs w:val="22"/>
          <w:lang w:val="en-GB"/>
        </w:rPr>
        <w:t>, ‘</w:t>
      </w:r>
      <w:r w:rsidRPr="00EA2029">
        <w:rPr>
          <w:rFonts w:ascii="Calibri" w:eastAsia="Calibri" w:hAnsi="Calibri" w:cs="Calibri"/>
          <w:i/>
          <w:sz w:val="22"/>
          <w:szCs w:val="22"/>
          <w:lang w:val="en-GB"/>
        </w:rPr>
        <w:t>Institutions and Organizations. Ideas, Interests and Identities</w:t>
      </w:r>
      <w:r w:rsidRPr="00EA2029">
        <w:rPr>
          <w:rFonts w:ascii="Calibri" w:eastAsia="Calibri" w:hAnsi="Calibri" w:cs="Calibri"/>
          <w:sz w:val="22"/>
          <w:szCs w:val="22"/>
          <w:lang w:val="en-GB"/>
        </w:rPr>
        <w:t>’ (2013) Sage Publication</w:t>
      </w:r>
    </w:p>
    <w:p w14:paraId="1BF0B8B5" w14:textId="77777777" w:rsidR="00D17768" w:rsidRDefault="00D17768">
      <w:pPr>
        <w:rPr>
          <w:lang w:val="en-GB"/>
        </w:rPr>
      </w:pPr>
    </w:p>
    <w:p w14:paraId="63099FEB" w14:textId="77777777" w:rsidR="00D17768" w:rsidRPr="00FC5412" w:rsidRDefault="00D17768">
      <w:pPr>
        <w:rPr>
          <w:lang w:val="en-GB"/>
        </w:rPr>
      </w:pPr>
    </w:p>
    <w:sectPr w:rsidR="00D17768" w:rsidRPr="00FC5412">
      <w:headerReference w:type="default" r:id="rId33"/>
      <w:footerReference w:type="default" r:id="rId34"/>
      <w:pgSz w:w="11906" w:h="16838"/>
      <w:pgMar w:top="2569" w:right="1134" w:bottom="2176" w:left="1134" w:header="1134" w:footer="1134"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D1EB" w14:textId="77777777" w:rsidR="00D15648" w:rsidRDefault="00D15648">
      <w:r>
        <w:separator/>
      </w:r>
    </w:p>
  </w:endnote>
  <w:endnote w:type="continuationSeparator" w:id="0">
    <w:p w14:paraId="2F62134D" w14:textId="77777777" w:rsidR="00D15648" w:rsidRDefault="00D1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erif CJK SC">
    <w:panose1 w:val="020B0604020202020204"/>
    <w:charset w:val="00"/>
    <w:family w:val="roman"/>
    <w:pitch w:val="default"/>
  </w:font>
  <w:font w:name="Lohit Devanagari">
    <w:altName w:val="Cambria"/>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3" w:type="dxa"/>
      <w:tblLayout w:type="fixed"/>
      <w:tblCellMar>
        <w:left w:w="0" w:type="dxa"/>
        <w:right w:w="0" w:type="dxa"/>
      </w:tblCellMar>
      <w:tblLook w:val="04A0" w:firstRow="1" w:lastRow="0" w:firstColumn="1" w:lastColumn="0" w:noHBand="0" w:noVBand="1"/>
    </w:tblPr>
    <w:tblGrid>
      <w:gridCol w:w="2493"/>
      <w:gridCol w:w="7150"/>
    </w:tblGrid>
    <w:tr w:rsidR="003E09D1" w14:paraId="6985BCD9" w14:textId="77777777">
      <w:tc>
        <w:tcPr>
          <w:tcW w:w="2493" w:type="dxa"/>
        </w:tcPr>
        <w:p w14:paraId="6FDEF124" w14:textId="77777777" w:rsidR="003E09D1" w:rsidRDefault="001B0ACE">
          <w:pPr>
            <w:pStyle w:val="Contenidodelatabla"/>
            <w:rPr>
              <w:sz w:val="16"/>
              <w:szCs w:val="16"/>
            </w:rPr>
          </w:pPr>
          <w:r>
            <w:rPr>
              <w:noProof/>
              <w:sz w:val="16"/>
              <w:szCs w:val="16"/>
            </w:rPr>
            <w:drawing>
              <wp:anchor distT="0" distB="0" distL="0" distR="0" simplePos="0" relativeHeight="5" behindDoc="1" locked="0" layoutInCell="1" allowOverlap="1" wp14:anchorId="76836679" wp14:editId="29FF30E9">
                <wp:simplePos x="0" y="0"/>
                <wp:positionH relativeFrom="column">
                  <wp:posOffset>6985</wp:posOffset>
                </wp:positionH>
                <wp:positionV relativeFrom="paragraph">
                  <wp:posOffset>635</wp:posOffset>
                </wp:positionV>
                <wp:extent cx="1466850" cy="326390"/>
                <wp:effectExtent l="0" t="0" r="0" b="0"/>
                <wp:wrapSquare wrapText="right"/>
                <wp:docPr id="7"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3"/>
                        <pic:cNvPicPr>
                          <a:picLocks noChangeAspect="1" noChangeArrowheads="1"/>
                        </pic:cNvPicPr>
                      </pic:nvPicPr>
                      <pic:blipFill>
                        <a:blip r:embed="rId1"/>
                        <a:stretch>
                          <a:fillRect/>
                        </a:stretch>
                      </pic:blipFill>
                      <pic:spPr bwMode="auto">
                        <a:xfrm>
                          <a:off x="0" y="0"/>
                          <a:ext cx="1466850" cy="326390"/>
                        </a:xfrm>
                        <a:prstGeom prst="rect">
                          <a:avLst/>
                        </a:prstGeom>
                      </pic:spPr>
                    </pic:pic>
                  </a:graphicData>
                </a:graphic>
              </wp:anchor>
            </w:drawing>
          </w:r>
        </w:p>
      </w:tc>
      <w:tc>
        <w:tcPr>
          <w:tcW w:w="7149" w:type="dxa"/>
        </w:tcPr>
        <w:p w14:paraId="56D5F786" w14:textId="77777777" w:rsidR="003E09D1" w:rsidRDefault="001B0ACE">
          <w:pPr>
            <w:pStyle w:val="Footer"/>
            <w:widowControl w:val="0"/>
            <w:rPr>
              <w:color w:val="1B1B1B"/>
            </w:rPr>
          </w:pPr>
          <w:r>
            <w:rPr>
              <w:color w:val="1B1B1B"/>
              <w:sz w:val="14"/>
              <w:szCs w:val="14"/>
              <w:lang w:val="en-GB"/>
            </w:rPr>
            <w:t xml:space="preserve">This publication has been produced with the financial support of </w:t>
          </w:r>
          <w:r>
            <w:rPr>
              <w:bCs/>
              <w:color w:val="1B1B1B"/>
              <w:sz w:val="14"/>
              <w:szCs w:val="14"/>
              <w:lang w:val="en-GB"/>
            </w:rPr>
            <w:t xml:space="preserve">the European Union’s Horizon Europe research and innovation program under Grant Agreement n° 101094497. </w:t>
          </w:r>
          <w:r>
            <w:rPr>
              <w:bCs/>
              <w:color w:val="1B1B1B"/>
              <w:sz w:val="14"/>
              <w:szCs w:val="14"/>
              <w:shd w:val="clear" w:color="auto" w:fill="FFFFFF"/>
              <w:lang w:val="en-GB"/>
            </w:rPr>
            <w:t>Views and opinions expressed are however those of the author(s) only and do not necessarily reflect those of the European Union or the European Research Executive Agency (REA). Neither the European Union nor the granting authority can be held responsible for them.</w:t>
          </w:r>
        </w:p>
      </w:tc>
    </w:tr>
  </w:tbl>
  <w:p w14:paraId="4AAAC39F" w14:textId="77777777" w:rsidR="003E09D1" w:rsidRDefault="003E09D1">
    <w:pPr>
      <w:pStyle w:val="Footer"/>
      <w:rPr>
        <w:lang w:val="en-GB"/>
      </w:rPr>
    </w:pPr>
  </w:p>
  <w:p w14:paraId="141F8F18" w14:textId="77777777" w:rsidR="003E09D1" w:rsidRDefault="001B0ACE">
    <w:pPr>
      <w:pStyle w:val="Footer"/>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B441" w14:textId="77777777" w:rsidR="00D15648" w:rsidRDefault="00D15648">
      <w:r>
        <w:separator/>
      </w:r>
    </w:p>
  </w:footnote>
  <w:footnote w:type="continuationSeparator" w:id="0">
    <w:p w14:paraId="7F285A88" w14:textId="77777777" w:rsidR="00D15648" w:rsidRDefault="00D15648">
      <w:r>
        <w:continuationSeparator/>
      </w:r>
    </w:p>
  </w:footnote>
  <w:footnote w:id="1">
    <w:p w14:paraId="4B30706E" w14:textId="77777777" w:rsidR="00BD71B7" w:rsidRPr="00AF4EBD" w:rsidRDefault="00BD71B7" w:rsidP="00BD71B7">
      <w:pPr>
        <w:pBdr>
          <w:top w:val="nil"/>
          <w:left w:val="nil"/>
          <w:bottom w:val="nil"/>
          <w:right w:val="nil"/>
          <w:between w:val="nil"/>
        </w:pBdr>
        <w:rPr>
          <w:color w:val="000000"/>
          <w:sz w:val="20"/>
          <w:szCs w:val="20"/>
          <w:lang w:val="en-GB"/>
        </w:rPr>
      </w:pPr>
      <w:r>
        <w:rPr>
          <w:rStyle w:val="FootnoteReference"/>
        </w:rPr>
        <w:footnoteRef/>
      </w:r>
      <w:r>
        <w:rPr>
          <w:color w:val="000000"/>
          <w:sz w:val="20"/>
          <w:szCs w:val="20"/>
        </w:rPr>
        <w:t xml:space="preserve"> </w:t>
      </w:r>
      <w:r>
        <w:rPr>
          <w:rFonts w:eastAsia="Arial" w:cs="Arial"/>
          <w:color w:val="000000"/>
          <w:sz w:val="20"/>
          <w:szCs w:val="20"/>
        </w:rPr>
        <w:t> </w:t>
      </w:r>
      <w:r w:rsidRPr="00AF4EBD">
        <w:rPr>
          <w:rFonts w:ascii="Calibri" w:eastAsia="Calibri" w:hAnsi="Calibri" w:cs="Calibri"/>
          <w:color w:val="000000"/>
          <w:sz w:val="20"/>
          <w:szCs w:val="20"/>
          <w:lang w:val="en-GB"/>
        </w:rPr>
        <w:t>European Parliament, ‘Understanding the gender pay gap: definition and causes’ (2023) &lt;</w:t>
      </w:r>
      <w:hyperlink r:id="rId1">
        <w:r w:rsidRPr="00AF4EBD">
          <w:rPr>
            <w:rFonts w:ascii="Calibri" w:eastAsia="Calibri" w:hAnsi="Calibri" w:cs="Calibri"/>
            <w:color w:val="0563C1"/>
            <w:sz w:val="20"/>
            <w:szCs w:val="20"/>
            <w:u w:val="single"/>
            <w:lang w:val="en-GB"/>
          </w:rPr>
          <w:t>https://www.europarl.europa.eu/news/en/headlines/society/20200109STO69925/understanding-the-gender-pay-gap-definition-and-causes</w:t>
        </w:r>
      </w:hyperlink>
      <w:r w:rsidRPr="00AF4EBD">
        <w:rPr>
          <w:rFonts w:ascii="Calibri" w:eastAsia="Calibri" w:hAnsi="Calibri" w:cs="Calibri"/>
          <w:color w:val="000000"/>
          <w:sz w:val="20"/>
          <w:szCs w:val="20"/>
          <w:lang w:val="en-GB"/>
        </w:rPr>
        <w:t>&gt; accessed 25 November 2023; European Commission, Directorate-General for Justice, ‘Tackling the gender pay gap in the European Union’ (Publications Office, 2014) &lt;</w:t>
      </w:r>
      <w:hyperlink r:id="rId2">
        <w:r w:rsidRPr="00AF4EBD">
          <w:rPr>
            <w:rFonts w:ascii="Calibri" w:eastAsia="Calibri" w:hAnsi="Calibri" w:cs="Calibri"/>
            <w:color w:val="0563C1"/>
            <w:sz w:val="20"/>
            <w:szCs w:val="20"/>
            <w:u w:val="single"/>
            <w:lang w:val="en-GB"/>
          </w:rPr>
          <w:t>https://data.europa.eu/doi/10.2838/48187</w:t>
        </w:r>
      </w:hyperlink>
      <w:r w:rsidRPr="00AF4EBD">
        <w:rPr>
          <w:rFonts w:ascii="Calibri" w:eastAsia="Calibri" w:hAnsi="Calibri" w:cs="Calibri"/>
          <w:color w:val="000000"/>
          <w:sz w:val="20"/>
          <w:szCs w:val="20"/>
          <w:lang w:val="en-GB"/>
        </w:rPr>
        <w:t>&gt; accessed 25 November 2023</w:t>
      </w:r>
    </w:p>
  </w:footnote>
  <w:footnote w:id="2">
    <w:p w14:paraId="1C560773"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w:t>
      </w:r>
    </w:p>
  </w:footnote>
  <w:footnote w:id="3">
    <w:p w14:paraId="2B68984D"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Aleksandra Gaweł, Katarzyna Mroczek-Dąbrowska, ‘Gender pay gap in explaining female entrepreneurship – industry perspective of selected European countries’ (2021) 43(9) International Journal of Manpower, 42.</w:t>
      </w:r>
    </w:p>
  </w:footnote>
  <w:footnote w:id="4">
    <w:p w14:paraId="66A78D6C" w14:textId="77777777" w:rsidR="00BD71B7" w:rsidRPr="00AF4EBD" w:rsidRDefault="00BD71B7" w:rsidP="00BD71B7">
      <w:pPr>
        <w:pBdr>
          <w:top w:val="nil"/>
          <w:left w:val="nil"/>
          <w:bottom w:val="nil"/>
          <w:right w:val="nil"/>
          <w:between w:val="nil"/>
        </w:pBdr>
        <w:rPr>
          <w:color w:val="000000"/>
          <w:sz w:val="20"/>
          <w:szCs w:val="20"/>
          <w:lang w:val="en-GB"/>
        </w:rPr>
      </w:pPr>
      <w:r w:rsidRPr="00AF4EBD">
        <w:rPr>
          <w:rStyle w:val="FootnoteReference"/>
          <w:lang w:val="en-GB"/>
        </w:rPr>
        <w:footnoteRef/>
      </w:r>
      <w:r w:rsidRPr="00AF4EBD">
        <w:rPr>
          <w:color w:val="000000"/>
          <w:sz w:val="20"/>
          <w:szCs w:val="20"/>
          <w:lang w:val="en-GB"/>
        </w:rPr>
        <w:t xml:space="preserve"> </w:t>
      </w:r>
      <w:r w:rsidRPr="00AF4EBD">
        <w:rPr>
          <w:rFonts w:ascii="Calibri" w:eastAsia="Calibri" w:hAnsi="Calibri" w:cs="Calibri"/>
          <w:color w:val="000000"/>
          <w:sz w:val="20"/>
          <w:szCs w:val="20"/>
          <w:lang w:val="en-GB"/>
        </w:rPr>
        <w:t>Eurostat, ‘Gender Pay Gap Statistics’ (Eurostat Statistics Explained, 2023) &lt;</w:t>
      </w:r>
      <w:hyperlink r:id="rId3">
        <w:r w:rsidRPr="00AF4EBD">
          <w:rPr>
            <w:rFonts w:ascii="Calibri" w:eastAsia="Calibri" w:hAnsi="Calibri" w:cs="Calibri"/>
            <w:color w:val="0563C1"/>
            <w:sz w:val="20"/>
            <w:szCs w:val="20"/>
            <w:u w:val="single"/>
            <w:lang w:val="en-GB"/>
          </w:rPr>
          <w:t>https://ec.europa.eu/eurostat/statistics-explained/index.php?title=Gender_pay_gap_statistics</w:t>
        </w:r>
      </w:hyperlink>
      <w:r w:rsidRPr="00AF4EBD">
        <w:rPr>
          <w:rFonts w:ascii="Calibri" w:eastAsia="Calibri" w:hAnsi="Calibri" w:cs="Calibri"/>
          <w:color w:val="000000"/>
          <w:sz w:val="20"/>
          <w:szCs w:val="20"/>
          <w:lang w:val="en-GB"/>
        </w:rPr>
        <w:t>&gt; accessed 25 November 2023</w:t>
      </w:r>
    </w:p>
  </w:footnote>
  <w:footnote w:id="5">
    <w:p w14:paraId="44E96511" w14:textId="095EBE29"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See RE-WIRING D1.1 ‘A Review of Concepts of Gendered Power Hierarchies and their Taxonomy’ available at: </w:t>
      </w:r>
      <w:hyperlink r:id="rId4">
        <w:r w:rsidRPr="00AF4EBD">
          <w:rPr>
            <w:rFonts w:ascii="Calibri" w:eastAsia="Calibri" w:hAnsi="Calibri" w:cs="Calibri"/>
            <w:color w:val="0563C1"/>
            <w:sz w:val="20"/>
            <w:szCs w:val="20"/>
            <w:u w:val="single"/>
            <w:lang w:val="en-GB"/>
          </w:rPr>
          <w:t>https://re-wiring.eu/wp-content/uploads/2024/01/A-Review-of-Concepts-of-Gendered-Power-Hierarchies-and-their-Taxonomy.300923_compressed.pdf</w:t>
        </w:r>
      </w:hyperlink>
      <w:r w:rsidRPr="00AF4EBD">
        <w:rPr>
          <w:rFonts w:ascii="Calibri" w:eastAsia="Calibri" w:hAnsi="Calibri" w:cs="Calibri"/>
          <w:color w:val="000000"/>
          <w:sz w:val="20"/>
          <w:szCs w:val="20"/>
          <w:lang w:val="en-GB"/>
        </w:rPr>
        <w:t xml:space="preserve"> accessed 20 </w:t>
      </w:r>
      <w:r w:rsidR="00AF4EBD" w:rsidRPr="00AF4EBD">
        <w:rPr>
          <w:rFonts w:ascii="Calibri" w:eastAsia="Calibri" w:hAnsi="Calibri" w:cs="Calibri"/>
          <w:color w:val="000000"/>
          <w:sz w:val="20"/>
          <w:szCs w:val="20"/>
          <w:lang w:val="en-GB"/>
        </w:rPr>
        <w:t>February</w:t>
      </w:r>
      <w:r w:rsidRPr="00AF4EBD">
        <w:rPr>
          <w:rFonts w:ascii="Calibri" w:eastAsia="Calibri" w:hAnsi="Calibri" w:cs="Calibri"/>
          <w:color w:val="000000"/>
          <w:sz w:val="20"/>
          <w:szCs w:val="20"/>
          <w:lang w:val="en-GB"/>
        </w:rPr>
        <w:t xml:space="preserve"> 2025</w:t>
      </w:r>
    </w:p>
  </w:footnote>
  <w:footnote w:id="6">
    <w:p w14:paraId="48D7082E"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 </w:t>
      </w:r>
    </w:p>
  </w:footnote>
  <w:footnote w:id="7">
    <w:p w14:paraId="7C619FBA"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 </w:t>
      </w:r>
    </w:p>
  </w:footnote>
  <w:footnote w:id="8">
    <w:p w14:paraId="4839ACAA" w14:textId="77777777" w:rsidR="00BD71B7" w:rsidRPr="00AF4EBD" w:rsidRDefault="00BD71B7" w:rsidP="00BD71B7">
      <w:pPr>
        <w:pBdr>
          <w:top w:val="nil"/>
          <w:left w:val="nil"/>
          <w:bottom w:val="nil"/>
          <w:right w:val="nil"/>
          <w:between w:val="nil"/>
        </w:pBdr>
        <w:rPr>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w:t>
      </w:r>
    </w:p>
  </w:footnote>
  <w:footnote w:id="9">
    <w:p w14:paraId="67A1C69A" w14:textId="4E6D2002" w:rsidR="00BD71B7" w:rsidRPr="00AF4EBD" w:rsidRDefault="00BD71B7" w:rsidP="00BD71B7">
      <w:pPr>
        <w:pBdr>
          <w:top w:val="nil"/>
          <w:left w:val="nil"/>
          <w:bottom w:val="nil"/>
          <w:right w:val="nil"/>
          <w:between w:val="nil"/>
        </w:pBdr>
        <w:rPr>
          <w:color w:val="000000"/>
          <w:sz w:val="20"/>
          <w:szCs w:val="20"/>
          <w:lang w:val="en-GB"/>
        </w:rPr>
      </w:pPr>
      <w:r w:rsidRPr="00AF4EBD">
        <w:rPr>
          <w:rStyle w:val="FootnoteReference"/>
          <w:lang w:val="en-GB"/>
        </w:rPr>
        <w:footnoteRef/>
      </w:r>
      <w:r w:rsidRPr="00AF4EBD">
        <w:rPr>
          <w:color w:val="000000"/>
          <w:sz w:val="20"/>
          <w:szCs w:val="20"/>
          <w:lang w:val="en-GB"/>
        </w:rPr>
        <w:t xml:space="preserve"> </w:t>
      </w:r>
      <w:r w:rsidRPr="00AF4EBD">
        <w:rPr>
          <w:rFonts w:ascii="Calibri" w:eastAsia="Calibri" w:hAnsi="Calibri" w:cs="Calibri"/>
          <w:color w:val="000000"/>
          <w:sz w:val="20"/>
          <w:szCs w:val="20"/>
          <w:lang w:val="en-GB"/>
        </w:rPr>
        <w:t xml:space="preserve">See RE-WIRING D2.1 – ‘Working paper on an effective transformative equality strategy towards enhancing women’s representation in decision-making and leadership positions’ available at: </w:t>
      </w:r>
      <w:hyperlink r:id="rId5">
        <w:r w:rsidRPr="00AF4EBD">
          <w:rPr>
            <w:rFonts w:ascii="Calibri" w:eastAsia="Calibri" w:hAnsi="Calibri" w:cs="Calibri"/>
            <w:color w:val="1155CC"/>
            <w:sz w:val="20"/>
            <w:szCs w:val="20"/>
            <w:u w:val="single"/>
            <w:lang w:val="en-GB"/>
          </w:rPr>
          <w:t>https://re-wiring.eu/wp-content/uploads/2025/02/D.2.1-Working-paper-on-an-effective-transformative-equality-strategy-towards-enhancing-womens-representation-in-decision-making-and-leadership-positions.pdf</w:t>
        </w:r>
      </w:hyperlink>
      <w:r w:rsidRPr="00AF4EBD">
        <w:rPr>
          <w:rFonts w:ascii="Calibri" w:eastAsia="Calibri" w:hAnsi="Calibri" w:cs="Calibri"/>
          <w:color w:val="000000"/>
          <w:sz w:val="20"/>
          <w:szCs w:val="20"/>
          <w:lang w:val="en-GB"/>
        </w:rPr>
        <w:t xml:space="preserve"> accessed 20 </w:t>
      </w:r>
      <w:r w:rsidR="00AF4EBD" w:rsidRPr="00AF4EBD">
        <w:rPr>
          <w:rFonts w:ascii="Calibri" w:eastAsia="Calibri" w:hAnsi="Calibri" w:cs="Calibri"/>
          <w:color w:val="000000"/>
          <w:sz w:val="20"/>
          <w:szCs w:val="20"/>
          <w:lang w:val="en-GB"/>
        </w:rPr>
        <w:t>February</w:t>
      </w:r>
      <w:r w:rsidRPr="00AF4EBD">
        <w:rPr>
          <w:rFonts w:ascii="Calibri" w:eastAsia="Calibri" w:hAnsi="Calibri" w:cs="Calibri"/>
          <w:color w:val="000000"/>
          <w:sz w:val="20"/>
          <w:szCs w:val="20"/>
          <w:lang w:val="en-GB"/>
        </w:rPr>
        <w:t xml:space="preserve"> 2025</w:t>
      </w:r>
    </w:p>
  </w:footnote>
  <w:footnote w:id="10">
    <w:p w14:paraId="444D01C6"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More information on WP4 are available on the RE-WIRING website at: </w:t>
      </w:r>
      <w:hyperlink r:id="rId6">
        <w:r w:rsidRPr="00AF4EBD">
          <w:rPr>
            <w:rFonts w:ascii="Calibri" w:eastAsia="Calibri" w:hAnsi="Calibri" w:cs="Calibri"/>
            <w:color w:val="0563C1"/>
            <w:sz w:val="20"/>
            <w:szCs w:val="20"/>
            <w:u w:val="single"/>
            <w:lang w:val="en-GB"/>
          </w:rPr>
          <w:t>https://re-wiring.eu/gender-gaps-in-employment-and-enterprise/</w:t>
        </w:r>
      </w:hyperlink>
    </w:p>
  </w:footnote>
  <w:footnote w:id="11">
    <w:p w14:paraId="5949DE1F" w14:textId="682EAB16" w:rsidR="00BD71B7" w:rsidRPr="00AF4EBD" w:rsidRDefault="00BD71B7" w:rsidP="00BD71B7">
      <w:pPr>
        <w:pBdr>
          <w:top w:val="nil"/>
          <w:left w:val="nil"/>
          <w:bottom w:val="nil"/>
          <w:right w:val="nil"/>
          <w:between w:val="nil"/>
        </w:pBdr>
        <w:rPr>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See RE-WIRING D1.3 – ‘The RE-WIRING Transformative Equality Approach and Research Methodology Template’ available at: </w:t>
      </w:r>
      <w:hyperlink r:id="rId7">
        <w:r w:rsidRPr="00AF4EBD">
          <w:rPr>
            <w:rFonts w:ascii="Calibri" w:eastAsia="Calibri" w:hAnsi="Calibri" w:cs="Calibri"/>
            <w:color w:val="1155CC"/>
            <w:sz w:val="20"/>
            <w:szCs w:val="20"/>
            <w:u w:val="single"/>
            <w:lang w:val="en-GB"/>
          </w:rPr>
          <w:t>https://re-wiring.eu/wp-content/uploads/2025/02/The-RE-WIRING-Transformative-Equality-Approach-And-Research-Methodology-Template.pdf</w:t>
        </w:r>
      </w:hyperlink>
      <w:r w:rsidRPr="00AF4EBD">
        <w:rPr>
          <w:rFonts w:ascii="Calibri" w:eastAsia="Calibri" w:hAnsi="Calibri" w:cs="Calibri"/>
          <w:color w:val="000000"/>
          <w:sz w:val="20"/>
          <w:szCs w:val="20"/>
          <w:lang w:val="en-GB"/>
        </w:rPr>
        <w:t xml:space="preserve"> accessed 21 </w:t>
      </w:r>
      <w:r w:rsidR="00AF4EBD" w:rsidRPr="00AF4EBD">
        <w:rPr>
          <w:rFonts w:ascii="Calibri" w:eastAsia="Calibri" w:hAnsi="Calibri" w:cs="Calibri"/>
          <w:color w:val="000000"/>
          <w:sz w:val="20"/>
          <w:szCs w:val="20"/>
          <w:lang w:val="en-GB"/>
        </w:rPr>
        <w:t>February</w:t>
      </w:r>
      <w:r w:rsidRPr="00AF4EBD">
        <w:rPr>
          <w:rFonts w:ascii="Calibri" w:eastAsia="Calibri" w:hAnsi="Calibri" w:cs="Calibri"/>
          <w:color w:val="000000"/>
          <w:sz w:val="20"/>
          <w:szCs w:val="20"/>
          <w:lang w:val="en-GB"/>
        </w:rPr>
        <w:t xml:space="preserve"> 2025</w:t>
      </w:r>
    </w:p>
  </w:footnote>
  <w:footnote w:id="12">
    <w:p w14:paraId="01DB3943" w14:textId="77777777" w:rsidR="00BD71B7"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color w:val="000000"/>
          <w:sz w:val="20"/>
          <w:szCs w:val="20"/>
          <w:lang w:val="en-GB"/>
        </w:rPr>
        <w:t xml:space="preserve"> </w:t>
      </w:r>
      <w:r w:rsidRPr="00AF4EBD">
        <w:rPr>
          <w:rFonts w:ascii="Calibri" w:eastAsia="Calibri" w:hAnsi="Calibri" w:cs="Calibri"/>
          <w:color w:val="000000"/>
          <w:sz w:val="20"/>
          <w:szCs w:val="20"/>
          <w:lang w:val="en-GB"/>
        </w:rPr>
        <w:t>Ibid</w:t>
      </w:r>
    </w:p>
    <w:p w14:paraId="4145EB3A" w14:textId="77777777" w:rsidR="00AF4EBD" w:rsidRPr="00AF4EBD" w:rsidRDefault="00AF4EBD" w:rsidP="00BD71B7">
      <w:pPr>
        <w:pBdr>
          <w:top w:val="nil"/>
          <w:left w:val="nil"/>
          <w:bottom w:val="nil"/>
          <w:right w:val="nil"/>
          <w:between w:val="nil"/>
        </w:pBdr>
        <w:rPr>
          <w:color w:val="000000"/>
          <w:sz w:val="20"/>
          <w:szCs w:val="20"/>
          <w:lang w:val="en-GB"/>
        </w:rPr>
      </w:pPr>
    </w:p>
  </w:footnote>
  <w:footnote w:id="13">
    <w:p w14:paraId="52306554" w14:textId="77777777" w:rsidR="00BD71B7"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color w:val="000000"/>
          <w:sz w:val="20"/>
          <w:szCs w:val="20"/>
          <w:lang w:val="en-GB"/>
        </w:rPr>
        <w:t xml:space="preserve"> </w:t>
      </w:r>
      <w:r w:rsidRPr="00AF4EBD">
        <w:rPr>
          <w:rFonts w:ascii="Calibri" w:eastAsia="Calibri" w:hAnsi="Calibri" w:cs="Calibri"/>
          <w:color w:val="000000"/>
          <w:sz w:val="20"/>
          <w:szCs w:val="20"/>
          <w:lang w:val="en-GB"/>
        </w:rPr>
        <w:t>Richard W. Scott, ‘</w:t>
      </w:r>
      <w:r w:rsidRPr="00AF4EBD">
        <w:rPr>
          <w:rFonts w:ascii="Calibri" w:eastAsia="Calibri" w:hAnsi="Calibri" w:cs="Calibri"/>
          <w:i/>
          <w:color w:val="000000"/>
          <w:sz w:val="20"/>
          <w:szCs w:val="20"/>
          <w:lang w:val="en-GB"/>
        </w:rPr>
        <w:t>Institutions and Organizations. Ideas, Interests and Identities</w:t>
      </w:r>
      <w:r w:rsidRPr="00AF4EBD">
        <w:rPr>
          <w:rFonts w:ascii="Calibri" w:eastAsia="Calibri" w:hAnsi="Calibri" w:cs="Calibri"/>
          <w:color w:val="000000"/>
          <w:sz w:val="20"/>
          <w:szCs w:val="20"/>
          <w:lang w:val="en-GB"/>
        </w:rPr>
        <w:t>’ (2013) Sage Publications</w:t>
      </w:r>
    </w:p>
    <w:p w14:paraId="2D375C5C" w14:textId="77777777" w:rsidR="00AF4EBD" w:rsidRPr="00AF4EBD" w:rsidRDefault="00AF4EBD" w:rsidP="00BD71B7">
      <w:pPr>
        <w:pBdr>
          <w:top w:val="nil"/>
          <w:left w:val="nil"/>
          <w:bottom w:val="nil"/>
          <w:right w:val="nil"/>
          <w:between w:val="nil"/>
        </w:pBdr>
        <w:rPr>
          <w:color w:val="000000"/>
          <w:sz w:val="20"/>
          <w:szCs w:val="20"/>
          <w:lang w:val="en-GB"/>
        </w:rPr>
      </w:pPr>
    </w:p>
  </w:footnote>
  <w:footnote w:id="14">
    <w:p w14:paraId="25AC24E1"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Francine D Blau and Lawrence M. Kahn, ‘The Gender Pay Gap: Have Women Gone as Far as They Can?’ (2007) 21:1 Academy of Management Perspective 7</w:t>
      </w:r>
    </w:p>
  </w:footnote>
  <w:footnote w:id="15">
    <w:p w14:paraId="580FA2A7"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Mohamad G. Alkadry and Leslie E. Tower, ‘Unequal Pay: The Role of Gender’ (2006) 66:6 Public Administration Review 888</w:t>
      </w:r>
    </w:p>
  </w:footnote>
  <w:footnote w:id="16">
    <w:p w14:paraId="6ADFD57B"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Gary S. Becker, </w:t>
      </w:r>
      <w:r w:rsidRPr="00AF4EBD">
        <w:rPr>
          <w:rFonts w:ascii="Calibri" w:eastAsia="Calibri" w:hAnsi="Calibri" w:cs="Calibri"/>
          <w:i/>
          <w:color w:val="000000"/>
          <w:sz w:val="20"/>
          <w:szCs w:val="20"/>
          <w:lang w:val="en-GB"/>
        </w:rPr>
        <w:t>The Economics of Discrimination</w:t>
      </w:r>
      <w:r w:rsidRPr="00AF4EBD">
        <w:rPr>
          <w:rFonts w:ascii="Calibri" w:eastAsia="Calibri" w:hAnsi="Calibri" w:cs="Calibri"/>
          <w:color w:val="000000"/>
          <w:sz w:val="20"/>
          <w:szCs w:val="20"/>
          <w:lang w:val="en-GB"/>
        </w:rPr>
        <w:t xml:space="preserve"> (2nd edn The University of Chicago Press 1957)</w:t>
      </w:r>
    </w:p>
  </w:footnote>
  <w:footnote w:id="17">
    <w:p w14:paraId="280DB058"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w:t>
      </w:r>
    </w:p>
  </w:footnote>
  <w:footnote w:id="18">
    <w:p w14:paraId="3032DF96" w14:textId="77777777" w:rsidR="00BD71B7" w:rsidRPr="00AF4EBD" w:rsidRDefault="00BD71B7" w:rsidP="00BD71B7">
      <w:pPr>
        <w:pBdr>
          <w:top w:val="nil"/>
          <w:left w:val="nil"/>
          <w:bottom w:val="nil"/>
          <w:right w:val="nil"/>
          <w:between w:val="nil"/>
        </w:pBdr>
        <w:rPr>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Edmund S. Phelps, ‘The Statistical Theory of Racism and Sexism’ (1972) 62:4 The American Economic Review 659</w:t>
      </w:r>
    </w:p>
  </w:footnote>
  <w:footnote w:id="19">
    <w:p w14:paraId="6A341C33" w14:textId="5EC95BB2" w:rsidR="00AF4EBD"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Barbara Bergmann, ‘The effect on White Incomes of Discrimination in Employment’ (1971) 79:2 Journal of Political Economy 294; Barbara Bergmann, The Economic Emergence of Women (Palgrave Macmillan 2005) 41</w:t>
      </w:r>
    </w:p>
  </w:footnote>
  <w:footnote w:id="20">
    <w:p w14:paraId="7874BDAA"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European Commission, ‘100 Words for Equality: A Glossary of Terms on Equality between Women and Men’ (Publications Office of the European Union 1998) &lt;</w:t>
      </w:r>
      <w:hyperlink r:id="rId8">
        <w:r w:rsidRPr="00AF4EBD">
          <w:rPr>
            <w:rFonts w:ascii="Calibri" w:eastAsia="Calibri" w:hAnsi="Calibri" w:cs="Calibri"/>
            <w:color w:val="0000FF"/>
            <w:sz w:val="20"/>
            <w:szCs w:val="20"/>
            <w:u w:val="single"/>
            <w:lang w:val="en-GB"/>
          </w:rPr>
          <w:t>https://op.europa.eu/en/publication-detail/-/publication/7342d801-86cc-4f59-a71a-2ff7c0e04123</w:t>
        </w:r>
      </w:hyperlink>
      <w:r w:rsidRPr="00AF4EBD">
        <w:rPr>
          <w:rFonts w:ascii="Calibri" w:eastAsia="Calibri" w:hAnsi="Calibri" w:cs="Calibri"/>
          <w:color w:val="000000"/>
          <w:sz w:val="20"/>
          <w:szCs w:val="20"/>
          <w:lang w:val="en-GB"/>
        </w:rPr>
        <w:t>&gt; accessed 14 March 2024;</w:t>
      </w:r>
    </w:p>
  </w:footnote>
  <w:footnote w:id="21">
    <w:p w14:paraId="319D2DAD"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w:t>
      </w:r>
    </w:p>
  </w:footnote>
  <w:footnote w:id="22">
    <w:p w14:paraId="75EE168B"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For more information on the overall RE-WIRING Project: </w:t>
      </w:r>
      <w:hyperlink r:id="rId9">
        <w:r w:rsidRPr="00AF4EBD">
          <w:rPr>
            <w:rFonts w:ascii="Calibri" w:eastAsia="Calibri" w:hAnsi="Calibri" w:cs="Calibri"/>
            <w:color w:val="0000FF"/>
            <w:sz w:val="20"/>
            <w:szCs w:val="20"/>
            <w:u w:val="single"/>
            <w:lang w:val="en-GB"/>
          </w:rPr>
          <w:t>https://re-wiring.eu</w:t>
        </w:r>
      </w:hyperlink>
      <w:r w:rsidRPr="00AF4EBD">
        <w:rPr>
          <w:rFonts w:ascii="Calibri" w:eastAsia="Calibri" w:hAnsi="Calibri" w:cs="Calibri"/>
          <w:color w:val="000000"/>
          <w:sz w:val="20"/>
          <w:szCs w:val="20"/>
          <w:lang w:val="en-GB"/>
        </w:rPr>
        <w:t> </w:t>
      </w:r>
    </w:p>
  </w:footnote>
  <w:footnote w:id="23">
    <w:p w14:paraId="49E3C463"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European Commission, ‘Women's situation in the labour market’ (European Commission) &lt;</w:t>
      </w:r>
      <w:hyperlink r:id="rId10">
        <w:r w:rsidRPr="00AF4EBD">
          <w:rPr>
            <w:rFonts w:ascii="Calibri" w:eastAsia="Calibri" w:hAnsi="Calibri" w:cs="Calibri"/>
            <w:color w:val="0000FF"/>
            <w:sz w:val="20"/>
            <w:szCs w:val="20"/>
            <w:u w:val="single"/>
            <w:lang w:val="en-GB"/>
          </w:rPr>
          <w:t>https://commission.europa.eu/strategy-and-policy/policies/justice-and-fundamental-rights/gender-equality/women-labour-market-work-life-balance/womens-situation-labour-market_en</w:t>
        </w:r>
      </w:hyperlink>
      <w:r w:rsidRPr="00AF4EBD">
        <w:rPr>
          <w:rFonts w:ascii="Calibri" w:eastAsia="Calibri" w:hAnsi="Calibri" w:cs="Calibri"/>
          <w:color w:val="000000"/>
          <w:sz w:val="20"/>
          <w:szCs w:val="20"/>
          <w:lang w:val="en-GB"/>
        </w:rPr>
        <w:t>&gt; accessed 14 March 2024</w:t>
      </w:r>
    </w:p>
  </w:footnote>
  <w:footnote w:id="24">
    <w:p w14:paraId="41F1E767"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w:t>
      </w:r>
    </w:p>
  </w:footnote>
  <w:footnote w:id="25">
    <w:p w14:paraId="7847214C"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Gabriele Ciminelli, Cyrille Schwellnus and Balazs Stadler, ‘Sticky floors or glass ceilings? The role of human capital, working time flexibility and discrimination in the gender wage gap’ (2021) OECD Working Paper 1668/2021</w:t>
      </w:r>
    </w:p>
  </w:footnote>
  <w:footnote w:id="26">
    <w:p w14:paraId="5BD55A5E" w14:textId="45ADAFA6"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Catalina Nicolás-Martínez, María López-Martínez and Prudencio José Riquelme-Perea, ‘Gender and work in Europe: towards the end of inequality?’ (2023) Journal of Contemporary European Studies 1</w:t>
      </w:r>
      <w:r w:rsidR="00F464DE">
        <w:rPr>
          <w:rFonts w:ascii="Calibri" w:eastAsia="Calibri" w:hAnsi="Calibri" w:cs="Calibri"/>
          <w:color w:val="000000"/>
          <w:sz w:val="20"/>
          <w:szCs w:val="20"/>
          <w:lang w:val="en-GB"/>
        </w:rPr>
        <w:t>; Check also RE-WIRING</w:t>
      </w:r>
      <w:r w:rsidR="003C4845">
        <w:rPr>
          <w:rFonts w:ascii="Calibri" w:eastAsia="Calibri" w:hAnsi="Calibri" w:cs="Calibri"/>
          <w:color w:val="000000"/>
          <w:sz w:val="20"/>
          <w:szCs w:val="20"/>
          <w:lang w:val="en-GB"/>
        </w:rPr>
        <w:t>,</w:t>
      </w:r>
      <w:r w:rsidR="00F464DE">
        <w:rPr>
          <w:rFonts w:ascii="Calibri" w:eastAsia="Calibri" w:hAnsi="Calibri" w:cs="Calibri"/>
          <w:color w:val="000000"/>
          <w:sz w:val="20"/>
          <w:szCs w:val="20"/>
          <w:lang w:val="en-GB"/>
        </w:rPr>
        <w:t xml:space="preserve"> D4.3 – Better Practice Map Addressing Work-Life Balance (WLB) Gap available </w:t>
      </w:r>
      <w:r w:rsidR="00E37456">
        <w:rPr>
          <w:rFonts w:ascii="Calibri" w:eastAsia="Calibri" w:hAnsi="Calibri" w:cs="Calibri"/>
          <w:color w:val="000000"/>
          <w:sz w:val="20"/>
          <w:szCs w:val="20"/>
          <w:lang w:val="en-GB"/>
        </w:rPr>
        <w:t xml:space="preserve">on the </w:t>
      </w:r>
      <w:r w:rsidR="00E37456" w:rsidRPr="00AF4EBD">
        <w:rPr>
          <w:rFonts w:ascii="Calibri" w:eastAsia="Calibri" w:hAnsi="Calibri" w:cs="Calibri"/>
          <w:color w:val="000000"/>
          <w:sz w:val="20"/>
          <w:szCs w:val="20"/>
          <w:lang w:val="en-GB"/>
        </w:rPr>
        <w:t>RE-WIRING Project</w:t>
      </w:r>
      <w:r w:rsidR="00E37456">
        <w:rPr>
          <w:rFonts w:ascii="Calibri" w:eastAsia="Calibri" w:hAnsi="Calibri" w:cs="Calibri"/>
          <w:color w:val="000000"/>
          <w:sz w:val="20"/>
          <w:szCs w:val="20"/>
          <w:lang w:val="en-GB"/>
        </w:rPr>
        <w:t xml:space="preserve"> Website</w:t>
      </w:r>
      <w:r w:rsidR="00E37456" w:rsidRPr="00AF4EBD">
        <w:rPr>
          <w:rFonts w:ascii="Calibri" w:eastAsia="Calibri" w:hAnsi="Calibri" w:cs="Calibri"/>
          <w:color w:val="000000"/>
          <w:sz w:val="20"/>
          <w:szCs w:val="20"/>
          <w:lang w:val="en-GB"/>
        </w:rPr>
        <w:t xml:space="preserve">: </w:t>
      </w:r>
      <w:hyperlink r:id="rId11">
        <w:r w:rsidR="00E37456" w:rsidRPr="00AF4EBD">
          <w:rPr>
            <w:rFonts w:ascii="Calibri" w:eastAsia="Calibri" w:hAnsi="Calibri" w:cs="Calibri"/>
            <w:color w:val="0000FF"/>
            <w:sz w:val="20"/>
            <w:szCs w:val="20"/>
            <w:u w:val="single"/>
            <w:lang w:val="en-GB"/>
          </w:rPr>
          <w:t>https://re-wiring.eu</w:t>
        </w:r>
      </w:hyperlink>
    </w:p>
  </w:footnote>
  <w:footnote w:id="27">
    <w:p w14:paraId="22F8A86F" w14:textId="77777777" w:rsidR="00BD71B7"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Marta Dominguez-Folgueras, M José González and Irene Lapuerta, ‘The Motherhood Penalty in Spain: The Effect of Full- and Part-Time Parental Leave on Women’s Earnings’ (2022) 29:1 Social Politics: International Studies in Gender, State &amp; Society 164</w:t>
      </w:r>
    </w:p>
    <w:p w14:paraId="308914B2" w14:textId="77777777" w:rsidR="00A858B3" w:rsidRPr="00AF4EBD" w:rsidRDefault="00A858B3" w:rsidP="00BD71B7">
      <w:pPr>
        <w:pBdr>
          <w:top w:val="nil"/>
          <w:left w:val="nil"/>
          <w:bottom w:val="nil"/>
          <w:right w:val="nil"/>
          <w:between w:val="nil"/>
        </w:pBdr>
        <w:rPr>
          <w:rFonts w:ascii="Calibri" w:eastAsia="Calibri" w:hAnsi="Calibri" w:cs="Calibri"/>
          <w:color w:val="000000"/>
          <w:sz w:val="20"/>
          <w:szCs w:val="20"/>
          <w:lang w:val="en-GB"/>
        </w:rPr>
      </w:pPr>
    </w:p>
  </w:footnote>
  <w:footnote w:id="28">
    <w:p w14:paraId="38626D76" w14:textId="77777777" w:rsidR="00BD71B7" w:rsidRPr="00AF4EBD" w:rsidRDefault="00BD71B7" w:rsidP="00BD71B7">
      <w:pPr>
        <w:pBdr>
          <w:top w:val="nil"/>
          <w:left w:val="nil"/>
          <w:bottom w:val="nil"/>
          <w:right w:val="nil"/>
          <w:between w:val="nil"/>
        </w:pBdr>
        <w:rPr>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Orla Gough, ‘The impact of the gender pay gap on post-retirement earnings’ (2001) 21:3 Critical Social Policy 311</w:t>
      </w:r>
    </w:p>
  </w:footnote>
  <w:footnote w:id="29">
    <w:p w14:paraId="57DDA193" w14:textId="15EBB680" w:rsidR="00AF4EBD" w:rsidRPr="00A858B3" w:rsidRDefault="00BD71B7" w:rsidP="00BD71B7">
      <w:pPr>
        <w:pBdr>
          <w:top w:val="nil"/>
          <w:left w:val="nil"/>
          <w:bottom w:val="nil"/>
          <w:right w:val="nil"/>
          <w:between w:val="nil"/>
        </w:pBdr>
        <w:rPr>
          <w:rFonts w:ascii="Calibri" w:eastAsia="Calibri" w:hAnsi="Calibri" w:cs="Calibri"/>
          <w:sz w:val="20"/>
          <w:szCs w:val="20"/>
          <w:lang w:val="en-GB"/>
        </w:rPr>
      </w:pPr>
      <w:r w:rsidRPr="00AF4EBD">
        <w:rPr>
          <w:rStyle w:val="FootnoteReference"/>
          <w:lang w:val="en-GB"/>
        </w:rPr>
        <w:footnoteRef/>
      </w:r>
      <w:r w:rsidRPr="00AF4EBD">
        <w:rPr>
          <w:rFonts w:ascii="Calibri" w:eastAsia="Calibri" w:hAnsi="Calibri" w:cs="Calibri"/>
          <w:sz w:val="20"/>
          <w:szCs w:val="20"/>
          <w:lang w:val="en-GB"/>
        </w:rPr>
        <w:t>Leythienne and Pérez-Julián (n 98)</w:t>
      </w:r>
    </w:p>
  </w:footnote>
  <w:footnote w:id="30">
    <w:p w14:paraId="3EBFFEFB"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w:t>
      </w:r>
    </w:p>
  </w:footnote>
  <w:footnote w:id="31">
    <w:p w14:paraId="66A5B2FB"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Eurostat, ‘Glossary: Structure of earnings survey (SES)’ (Eurostat Statistics Explained 7 December 2016) &lt;</w:t>
      </w:r>
      <w:hyperlink r:id="rId12" w:anchor=":~:text=The%20Structure%20of%20earnings%20survey,%2C%20occupation%2C%20length%20of%20service%2C">
        <w:r w:rsidRPr="00AF4EBD">
          <w:rPr>
            <w:rFonts w:ascii="Calibri" w:eastAsia="Calibri" w:hAnsi="Calibri" w:cs="Calibri"/>
            <w:color w:val="0563C1"/>
            <w:sz w:val="20"/>
            <w:szCs w:val="20"/>
            <w:u w:val="single"/>
            <w:lang w:val="en-GB"/>
          </w:rPr>
          <w:t>https://ec.europa.eu/eurostat/statistics-explained/index.php?title=Glossary:Structure_of_earnings_survey_(SES)#:~:text=The%20Structure%20of%20earnings%20survey,%2C%20occupation%2C%20length%20of%20service%2C</w:t>
        </w:r>
      </w:hyperlink>
      <w:r w:rsidRPr="00AF4EBD">
        <w:rPr>
          <w:rFonts w:ascii="Calibri" w:eastAsia="Calibri" w:hAnsi="Calibri" w:cs="Calibri"/>
          <w:color w:val="000000"/>
          <w:sz w:val="20"/>
          <w:szCs w:val="20"/>
          <w:lang w:val="en-GB"/>
        </w:rPr>
        <w:t>&gt; Accessed 15 December 2023</w:t>
      </w:r>
    </w:p>
  </w:footnote>
  <w:footnote w:id="32">
    <w:p w14:paraId="7DD0322E"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Ibid</w:t>
      </w:r>
    </w:p>
  </w:footnote>
  <w:footnote w:id="33">
    <w:p w14:paraId="3721F73D"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Denise Leythienne and Piotr Ronkowski, ‘A decomposition of the unadjusted gender pay gap using Structure of Earnings Survey data – 2018 Edition’ (2018) &lt;</w:t>
      </w:r>
      <w:hyperlink r:id="rId13">
        <w:r w:rsidRPr="00AF4EBD">
          <w:rPr>
            <w:rFonts w:ascii="Calibri" w:eastAsia="Calibri" w:hAnsi="Calibri" w:cs="Calibri"/>
            <w:color w:val="0563C1"/>
            <w:sz w:val="20"/>
            <w:szCs w:val="20"/>
            <w:u w:val="single"/>
            <w:lang w:val="en-GB"/>
          </w:rPr>
          <w:t>https://ec.europa.eu/eurostat/documents/3888793/8979317/KS-TC-18-003-EN-N.pdf/3a6c9295-5e66-4b79-b009-ea1604770676?t=1528790952000</w:t>
        </w:r>
      </w:hyperlink>
      <w:r w:rsidRPr="00AF4EBD">
        <w:rPr>
          <w:rFonts w:ascii="Calibri" w:eastAsia="Calibri" w:hAnsi="Calibri" w:cs="Calibri"/>
          <w:color w:val="000000"/>
          <w:sz w:val="20"/>
          <w:szCs w:val="20"/>
          <w:lang w:val="en-GB"/>
        </w:rPr>
        <w:t>&gt; Accessed 15 December 2023</w:t>
      </w:r>
    </w:p>
  </w:footnote>
  <w:footnote w:id="34">
    <w:p w14:paraId="2D16A19F" w14:textId="77777777" w:rsidR="00BD71B7" w:rsidRPr="00AF4EBD" w:rsidRDefault="00BD71B7" w:rsidP="00BD71B7">
      <w:pPr>
        <w:pBdr>
          <w:top w:val="nil"/>
          <w:left w:val="nil"/>
          <w:bottom w:val="nil"/>
          <w:right w:val="nil"/>
          <w:between w:val="nil"/>
        </w:pBdr>
        <w:rPr>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w:t>
      </w:r>
    </w:p>
  </w:footnote>
  <w:footnote w:id="35">
    <w:p w14:paraId="58432F05" w14:textId="77777777" w:rsidR="00BD71B7" w:rsidRPr="00AF4EBD" w:rsidRDefault="00BD71B7" w:rsidP="00BD71B7">
      <w:pPr>
        <w:pBdr>
          <w:top w:val="nil"/>
          <w:left w:val="nil"/>
          <w:bottom w:val="nil"/>
          <w:right w:val="nil"/>
          <w:between w:val="nil"/>
        </w:pBdr>
        <w:rPr>
          <w:color w:val="000000"/>
          <w:sz w:val="20"/>
          <w:szCs w:val="20"/>
          <w:lang w:val="en-GB"/>
        </w:rPr>
      </w:pPr>
      <w:r w:rsidRPr="00AF4EBD">
        <w:rPr>
          <w:rStyle w:val="FootnoteReference"/>
          <w:lang w:val="en-GB"/>
        </w:rPr>
        <w:footnoteRef/>
      </w:r>
      <w:r w:rsidRPr="00AF4EBD">
        <w:rPr>
          <w:color w:val="000000"/>
          <w:sz w:val="20"/>
          <w:szCs w:val="20"/>
          <w:lang w:val="en-GB"/>
        </w:rPr>
        <w:t xml:space="preserve"> </w:t>
      </w:r>
      <w:r w:rsidRPr="00AF4EBD">
        <w:rPr>
          <w:rFonts w:ascii="Calibri" w:eastAsia="Calibri" w:hAnsi="Calibri" w:cs="Calibri"/>
          <w:color w:val="000000"/>
          <w:sz w:val="20"/>
          <w:szCs w:val="20"/>
          <w:lang w:val="en-GB"/>
        </w:rPr>
        <w:t>OECD, Gender wage gap (indicator), (2024). doi: 10.1787/7cee77aa-en &lt;</w:t>
      </w:r>
      <w:hyperlink r:id="rId14">
        <w:r w:rsidRPr="00AF4EBD">
          <w:rPr>
            <w:rFonts w:ascii="Calibri" w:eastAsia="Calibri" w:hAnsi="Calibri" w:cs="Calibri"/>
            <w:color w:val="0563C1"/>
            <w:sz w:val="20"/>
            <w:szCs w:val="20"/>
            <w:u w:val="single"/>
            <w:lang w:val="en-GB"/>
          </w:rPr>
          <w:t>https://data.oecd.org/earnwage/gender-wage-gap.htm</w:t>
        </w:r>
      </w:hyperlink>
      <w:r w:rsidRPr="00AF4EBD">
        <w:rPr>
          <w:rFonts w:ascii="Calibri" w:eastAsia="Calibri" w:hAnsi="Calibri" w:cs="Calibri"/>
          <w:color w:val="000000"/>
          <w:sz w:val="20"/>
          <w:szCs w:val="20"/>
          <w:lang w:val="en-GB"/>
        </w:rPr>
        <w:t>&gt; Accessed 8 January 2024</w:t>
      </w:r>
    </w:p>
  </w:footnote>
  <w:footnote w:id="36">
    <w:p w14:paraId="246FBFFD"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w:t>
      </w:r>
    </w:p>
  </w:footnote>
  <w:footnote w:id="37">
    <w:p w14:paraId="6E251956" w14:textId="77777777" w:rsidR="00BD71B7" w:rsidRPr="00AF4EBD" w:rsidRDefault="00BD71B7" w:rsidP="00BD71B7">
      <w:pPr>
        <w:pBdr>
          <w:top w:val="nil"/>
          <w:left w:val="nil"/>
          <w:bottom w:val="nil"/>
          <w:right w:val="nil"/>
          <w:between w:val="nil"/>
        </w:pBdr>
        <w:rPr>
          <w:rFonts w:ascii="Calibri" w:eastAsia="Calibri" w:hAnsi="Calibri" w:cs="Calibri"/>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w:t>
      </w:r>
      <w:r w:rsidRPr="00AF4EBD">
        <w:rPr>
          <w:rFonts w:ascii="Calibri" w:eastAsia="Calibri" w:hAnsi="Calibri" w:cs="Calibri"/>
          <w:sz w:val="20"/>
          <w:szCs w:val="20"/>
          <w:lang w:val="en-GB"/>
        </w:rPr>
        <w:t>European Commission, Directorate-General for Justice, ‘Tackling the gender pay gap in the European Union’ (Publications Office, 2014) &lt;</w:t>
      </w:r>
      <w:hyperlink r:id="rId15">
        <w:r w:rsidRPr="00AF4EBD">
          <w:rPr>
            <w:rFonts w:ascii="Calibri" w:eastAsia="Calibri" w:hAnsi="Calibri" w:cs="Calibri"/>
            <w:color w:val="0000FF"/>
            <w:sz w:val="20"/>
            <w:szCs w:val="20"/>
            <w:u w:val="single"/>
            <w:lang w:val="en-GB"/>
          </w:rPr>
          <w:t>https://data.europa.eu/doi/10.2838/48187</w:t>
        </w:r>
      </w:hyperlink>
      <w:r w:rsidRPr="00AF4EBD">
        <w:rPr>
          <w:rFonts w:ascii="Calibri" w:eastAsia="Calibri" w:hAnsi="Calibri" w:cs="Calibri"/>
          <w:sz w:val="20"/>
          <w:szCs w:val="20"/>
          <w:lang w:val="en-GB"/>
        </w:rPr>
        <w:t>&gt; accessed 25 November 2023</w:t>
      </w:r>
    </w:p>
  </w:footnote>
  <w:footnote w:id="38">
    <w:p w14:paraId="2049DC93"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eastAsia="Arial" w:cs="Arial"/>
          <w:color w:val="000000"/>
          <w:sz w:val="20"/>
          <w:szCs w:val="20"/>
          <w:lang w:val="en-GB"/>
        </w:rPr>
        <w:t xml:space="preserve"> </w:t>
      </w:r>
      <w:r w:rsidRPr="00AF4EBD">
        <w:rPr>
          <w:rFonts w:ascii="Calibri" w:eastAsia="Calibri" w:hAnsi="Calibri" w:cs="Calibri"/>
          <w:color w:val="000000"/>
          <w:sz w:val="20"/>
          <w:szCs w:val="20"/>
          <w:lang w:val="en-GB"/>
        </w:rPr>
        <w:t>Carla A. F. Amado, Sérgio P. Santos and José M. S. São Joséa, ‘Measuring and decomposing the gender pay gap: A new frontier approach’ (2018) 271 European Journal of Operational Research 357; Cristiano Perugini and Fabrizio Pompei, ‘Pay incentives, intangibles, and gender wage inequality’ (2024) 31:6 Industry and Innovation 695; Boris Hirsch and Philipp Lentge, ‘Non-base compensation and the gender pay gap’ (2022) 36 Labour 277</w:t>
      </w:r>
    </w:p>
  </w:footnote>
  <w:footnote w:id="39">
    <w:p w14:paraId="4C9FAF45"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w:t>
      </w:r>
    </w:p>
  </w:footnote>
  <w:footnote w:id="40">
    <w:p w14:paraId="613334BE" w14:textId="6DCFB0D9" w:rsidR="00AF4EBD" w:rsidRPr="00B66C25"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w:t>
      </w:r>
    </w:p>
  </w:footnote>
  <w:footnote w:id="41">
    <w:p w14:paraId="0310044B"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European Commission, ‘The gender pay gap situation in EU’ (European Commission, N/A) </w:t>
      </w:r>
      <w:hyperlink r:id="rId16">
        <w:r w:rsidRPr="00AF4EBD">
          <w:rPr>
            <w:rFonts w:ascii="Calibri" w:eastAsia="Calibri" w:hAnsi="Calibri" w:cs="Calibri"/>
            <w:color w:val="0000FF"/>
            <w:sz w:val="20"/>
            <w:szCs w:val="20"/>
            <w:u w:val="single"/>
            <w:lang w:val="en-GB"/>
          </w:rPr>
          <w:t>https://commission.europa.eu/strategy-and-policy/policies/justice-and-fundamental-rights/gender-equality/equal-pay/gender-pay-gap-situation-eu_en</w:t>
        </w:r>
      </w:hyperlink>
      <w:r w:rsidRPr="00AF4EBD">
        <w:rPr>
          <w:rFonts w:ascii="Calibri" w:eastAsia="Calibri" w:hAnsi="Calibri" w:cs="Calibri"/>
          <w:color w:val="000000"/>
          <w:sz w:val="20"/>
          <w:szCs w:val="20"/>
          <w:lang w:val="en-GB"/>
        </w:rPr>
        <w:t xml:space="preserve"> accessed 20 February 2025; Mehjabeen Alarakhia, Marjan Petreski, Zahra Sheikh Ahmed and Tanima Tanima, </w:t>
      </w:r>
      <w:r w:rsidRPr="00AF4EBD">
        <w:rPr>
          <w:rFonts w:ascii="Calibri" w:eastAsia="Calibri" w:hAnsi="Calibri" w:cs="Calibri"/>
          <w:i/>
          <w:color w:val="000000"/>
          <w:sz w:val="20"/>
          <w:szCs w:val="20"/>
          <w:lang w:val="en-GB"/>
        </w:rPr>
        <w:t>Why Women Earn Less Gender Pay Gap And Labour-Market Inequalities In South Africa</w:t>
      </w:r>
      <w:r w:rsidRPr="00AF4EBD">
        <w:rPr>
          <w:rFonts w:ascii="Calibri" w:eastAsia="Calibri" w:hAnsi="Calibri" w:cs="Calibri"/>
          <w:color w:val="000000"/>
          <w:sz w:val="20"/>
          <w:szCs w:val="20"/>
          <w:lang w:val="en-GB"/>
        </w:rPr>
        <w:t xml:space="preserve"> (UN Women East and Southern Africa Regional Office 2023) 12</w:t>
      </w:r>
    </w:p>
  </w:footnote>
  <w:footnote w:id="42">
    <w:p w14:paraId="18815CB5" w14:textId="77777777" w:rsidR="00BD71B7" w:rsidRPr="00AF4EBD" w:rsidRDefault="00BD71B7" w:rsidP="00BD71B7">
      <w:pPr>
        <w:pBdr>
          <w:top w:val="nil"/>
          <w:left w:val="nil"/>
          <w:bottom w:val="nil"/>
          <w:right w:val="nil"/>
          <w:between w:val="nil"/>
        </w:pBdr>
        <w:rPr>
          <w:color w:val="000000"/>
          <w:sz w:val="20"/>
          <w:szCs w:val="20"/>
          <w:lang w:val="en-GB"/>
        </w:rPr>
      </w:pPr>
      <w:r w:rsidRPr="00AF4EBD">
        <w:rPr>
          <w:rStyle w:val="FootnoteReference"/>
          <w:lang w:val="en-GB"/>
        </w:rPr>
        <w:footnoteRef/>
      </w:r>
      <w:r w:rsidRPr="00AF4EBD">
        <w:rPr>
          <w:color w:val="000000"/>
          <w:sz w:val="20"/>
          <w:szCs w:val="20"/>
          <w:lang w:val="en-GB"/>
        </w:rPr>
        <w:t xml:space="preserve"> </w:t>
      </w:r>
      <w:r w:rsidRPr="00AF4EBD">
        <w:rPr>
          <w:rFonts w:ascii="Calibri" w:eastAsia="Calibri" w:hAnsi="Calibri" w:cs="Calibri"/>
          <w:color w:val="000000"/>
          <w:sz w:val="20"/>
          <w:szCs w:val="20"/>
          <w:lang w:val="en-GB"/>
        </w:rPr>
        <w:t xml:space="preserve">Convention concerning Equal Remuneration for Men and Women Workers for Work of Equal Value (adopted 29 June 1951); Discrimination (Employment and Occupation) Convention (adopted 25 June 1958); Universal Declaration of Human Rights (ratified 10 December 1948), art. 23; Convention on the Elimination of All Forms of Discrimination against Women (adopted 18 December 1979) art 11(d); </w:t>
      </w:r>
      <w:r w:rsidRPr="00AF4EBD">
        <w:rPr>
          <w:rFonts w:ascii="Calibri" w:eastAsia="Calibri" w:hAnsi="Calibri" w:cs="Calibri"/>
          <w:i/>
          <w:color w:val="000000"/>
          <w:sz w:val="20"/>
          <w:szCs w:val="20"/>
          <w:lang w:val="en-GB"/>
        </w:rPr>
        <w:t>In the European Legislation</w:t>
      </w:r>
      <w:r w:rsidRPr="00AF4EBD">
        <w:rPr>
          <w:rFonts w:ascii="Calibri" w:eastAsia="Calibri" w:hAnsi="Calibri" w:cs="Calibri"/>
          <w:color w:val="000000"/>
          <w:sz w:val="20"/>
          <w:szCs w:val="20"/>
          <w:lang w:val="en-GB"/>
        </w:rPr>
        <w:t>: Consolidated Version of the Treaty on the Functioning of the European Union, [2012], OJ C326/117, art. 157, para 1; European Parliament and Council Directive 2006/54/EC of 5 July 2006 on the implementation of the principle of equal opportunities and equal treatment of men and women in matters of employment and occupation (recast) [2006] OJ L204/23; European Parliament and Council Directive (EU) 2023/970 of 10 May 2023 to strengthen the application of the principle of equal pay for equal work or work of equal value between men and women through pay transparency and enforcement mechanisms [2023] OJ L132/21; Council of Europe European Social Charter 7</w:t>
      </w:r>
      <w:r w:rsidRPr="00AF4EBD">
        <w:rPr>
          <w:rFonts w:ascii="Calibri" w:eastAsia="Calibri" w:hAnsi="Calibri" w:cs="Calibri"/>
          <w:color w:val="000000"/>
          <w:sz w:val="20"/>
          <w:szCs w:val="20"/>
          <w:vertAlign w:val="superscript"/>
          <w:lang w:val="en-GB"/>
        </w:rPr>
        <w:t>th</w:t>
      </w:r>
      <w:r w:rsidRPr="00AF4EBD">
        <w:rPr>
          <w:rFonts w:ascii="Calibri" w:eastAsia="Calibri" w:hAnsi="Calibri" w:cs="Calibri"/>
          <w:color w:val="000000"/>
          <w:sz w:val="20"/>
          <w:szCs w:val="20"/>
          <w:lang w:val="en-GB"/>
        </w:rPr>
        <w:t xml:space="preserve"> edition of the collected texts (2015); Charter of Fundamental Rights of the European Union </w:t>
      </w:r>
      <w:r w:rsidRPr="00AF4EBD">
        <w:rPr>
          <w:color w:val="000000"/>
          <w:sz w:val="20"/>
          <w:szCs w:val="20"/>
          <w:lang w:val="en-GB"/>
        </w:rPr>
        <w:t xml:space="preserve"> </w:t>
      </w:r>
      <w:r w:rsidRPr="00AF4EBD">
        <w:rPr>
          <w:rFonts w:ascii="Calibri" w:eastAsia="Calibri" w:hAnsi="Calibri" w:cs="Calibri"/>
          <w:color w:val="000000"/>
          <w:sz w:val="20"/>
          <w:szCs w:val="20"/>
          <w:lang w:val="en-GB"/>
        </w:rPr>
        <w:t>2012/C [2012] OJ C326/391</w:t>
      </w:r>
    </w:p>
  </w:footnote>
  <w:footnote w:id="43">
    <w:p w14:paraId="35CE4CB8"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Sophie Jaquot, </w:t>
      </w:r>
      <w:r w:rsidRPr="00AF4EBD">
        <w:rPr>
          <w:rFonts w:ascii="Calibri" w:eastAsia="Calibri" w:hAnsi="Calibri" w:cs="Calibri"/>
          <w:i/>
          <w:color w:val="000000"/>
          <w:sz w:val="20"/>
          <w:szCs w:val="20"/>
          <w:lang w:val="en-GB"/>
        </w:rPr>
        <w:t xml:space="preserve">Transformation in EU Gender Equality: from emergence to dismantling </w:t>
      </w:r>
      <w:r w:rsidRPr="00AF4EBD">
        <w:rPr>
          <w:rFonts w:ascii="Calibri" w:eastAsia="Calibri" w:hAnsi="Calibri" w:cs="Calibri"/>
          <w:color w:val="000000"/>
          <w:sz w:val="20"/>
          <w:szCs w:val="20"/>
          <w:lang w:val="en-GB"/>
        </w:rPr>
        <w:t>(Palgrave 2015) 19</w:t>
      </w:r>
    </w:p>
  </w:footnote>
  <w:footnote w:id="44">
    <w:p w14:paraId="46620BD4"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Consolidated Version of the Treaty on the Functioning of the European Union, [2012], OJ C326/117, art. 157, para 1</w:t>
      </w:r>
    </w:p>
  </w:footnote>
  <w:footnote w:id="45">
    <w:p w14:paraId="3A6CADD1"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eastAsia="Arial" w:cs="Arial"/>
          <w:color w:val="000000"/>
          <w:sz w:val="20"/>
          <w:szCs w:val="20"/>
          <w:lang w:val="en-GB"/>
        </w:rPr>
        <w:t xml:space="preserve"> </w:t>
      </w:r>
      <w:r w:rsidRPr="00AF4EBD">
        <w:rPr>
          <w:rFonts w:ascii="Calibri" w:eastAsia="Calibri" w:hAnsi="Calibri" w:cs="Calibri"/>
          <w:color w:val="000000"/>
          <w:sz w:val="20"/>
          <w:szCs w:val="20"/>
          <w:lang w:val="en-GB"/>
        </w:rPr>
        <w:t xml:space="preserve">Vanessa D’Hooghe ‘Article 119 How Stewardesses Obtained Equal Pay in the European Community (Belgium, 1968-1980)’ in Yulia Gradskova and Sara Sanders (eds), </w:t>
      </w:r>
      <w:r w:rsidRPr="00AF4EBD">
        <w:rPr>
          <w:rFonts w:ascii="Calibri" w:eastAsia="Calibri" w:hAnsi="Calibri" w:cs="Calibri"/>
          <w:i/>
          <w:sz w:val="20"/>
          <w:szCs w:val="20"/>
          <w:lang w:val="en-GB"/>
        </w:rPr>
        <w:t>Institutionalizing</w:t>
      </w:r>
      <w:r w:rsidRPr="00AF4EBD">
        <w:rPr>
          <w:rFonts w:ascii="Calibri" w:eastAsia="Calibri" w:hAnsi="Calibri" w:cs="Calibri"/>
          <w:i/>
          <w:color w:val="000000"/>
          <w:sz w:val="20"/>
          <w:szCs w:val="20"/>
          <w:lang w:val="en-GB"/>
        </w:rPr>
        <w:t xml:space="preserve"> Gender Equality Historical and Global Perspectives</w:t>
      </w:r>
      <w:r w:rsidRPr="00AF4EBD">
        <w:rPr>
          <w:rFonts w:ascii="Calibri" w:eastAsia="Calibri" w:hAnsi="Calibri" w:cs="Calibri"/>
          <w:color w:val="000000"/>
          <w:sz w:val="20"/>
          <w:szCs w:val="20"/>
          <w:lang w:val="en-GB"/>
        </w:rPr>
        <w:t xml:space="preserve"> (Lexington Books 2015)</w:t>
      </w:r>
    </w:p>
  </w:footnote>
  <w:footnote w:id="46">
    <w:p w14:paraId="0AA617E7" w14:textId="0EC50B12" w:rsidR="00AF4EBD"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Nicole Busby, ‘Social Policy: Case 43/75 Defrenne v Sabena’ in Rhona Smith, Lynne Murrell and Debbie Rook (eds), </w:t>
      </w:r>
      <w:r w:rsidRPr="00AF4EBD">
        <w:rPr>
          <w:rFonts w:ascii="Calibri" w:eastAsia="Calibri" w:hAnsi="Calibri" w:cs="Calibri"/>
          <w:i/>
          <w:color w:val="000000"/>
          <w:sz w:val="20"/>
          <w:szCs w:val="20"/>
          <w:lang w:val="en-GB"/>
        </w:rPr>
        <w:t>Conversion Course Companion for Law: Core Legal Principles and Cases</w:t>
      </w:r>
      <w:r w:rsidRPr="00AF4EBD">
        <w:rPr>
          <w:rFonts w:ascii="Calibri" w:eastAsia="Calibri" w:hAnsi="Calibri" w:cs="Calibri"/>
          <w:color w:val="000000"/>
          <w:sz w:val="20"/>
          <w:szCs w:val="20"/>
          <w:lang w:val="en-GB"/>
        </w:rPr>
        <w:t xml:space="preserve"> (Pearson Education 2008) 151-155.</w:t>
      </w:r>
    </w:p>
  </w:footnote>
  <w:footnote w:id="47">
    <w:p w14:paraId="33A24789" w14:textId="77777777" w:rsidR="00BD71B7" w:rsidRPr="00722C22" w:rsidRDefault="00BD71B7" w:rsidP="00BD71B7">
      <w:pPr>
        <w:pBdr>
          <w:top w:val="nil"/>
          <w:left w:val="nil"/>
          <w:bottom w:val="nil"/>
          <w:right w:val="nil"/>
          <w:between w:val="nil"/>
        </w:pBdr>
        <w:rPr>
          <w:rFonts w:eastAsia="Arial" w:cs="Arial"/>
          <w:color w:val="000000"/>
          <w:sz w:val="20"/>
          <w:szCs w:val="20"/>
          <w:lang w:val="it-IT"/>
        </w:rPr>
      </w:pPr>
      <w:r w:rsidRPr="00AF4EBD">
        <w:rPr>
          <w:rStyle w:val="FootnoteReference"/>
          <w:lang w:val="en-GB"/>
        </w:rPr>
        <w:footnoteRef/>
      </w:r>
      <w:r w:rsidRPr="00722C22">
        <w:rPr>
          <w:rFonts w:ascii="Calibri" w:eastAsia="Calibri" w:hAnsi="Calibri" w:cs="Calibri"/>
          <w:color w:val="000000"/>
          <w:sz w:val="20"/>
          <w:szCs w:val="20"/>
          <w:lang w:val="it-IT"/>
        </w:rPr>
        <w:t xml:space="preserve"> Case 43/75 </w:t>
      </w:r>
      <w:r w:rsidRPr="00722C22">
        <w:rPr>
          <w:rFonts w:ascii="Calibri" w:eastAsia="Calibri" w:hAnsi="Calibri" w:cs="Calibri"/>
          <w:i/>
          <w:color w:val="000000"/>
          <w:sz w:val="20"/>
          <w:szCs w:val="20"/>
          <w:lang w:val="it-IT"/>
        </w:rPr>
        <w:t>Gabrielle Defrenne v Société anonyme belge de navigation aérienne Sabena</w:t>
      </w:r>
      <w:r w:rsidRPr="00722C22">
        <w:rPr>
          <w:rFonts w:ascii="Calibri" w:eastAsia="Calibri" w:hAnsi="Calibri" w:cs="Calibri"/>
          <w:color w:val="000000"/>
          <w:sz w:val="20"/>
          <w:szCs w:val="20"/>
          <w:lang w:val="it-IT"/>
        </w:rPr>
        <w:t xml:space="preserve"> [1976] ECR 00455, para 40</w:t>
      </w:r>
    </w:p>
  </w:footnote>
  <w:footnote w:id="48">
    <w:p w14:paraId="739F2410"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European Parliament and Council Directive 2006/54/EC of 5 July 2006 on the implementation of the principle of equal opportunities and equal treatment of men and women in matters of employment and occupation (recast) [2006] OJ L204/23</w:t>
      </w:r>
    </w:p>
  </w:footnote>
  <w:footnote w:id="49">
    <w:p w14:paraId="3B377D16"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Directive (EU) 2019/1158 of the European Parliament and of the Council of 20 June 2019 on work-life balance for parents and carers and repealing Council Directive 2010/18/EU [2019] OJ L188/79</w:t>
      </w:r>
    </w:p>
  </w:footnote>
  <w:footnote w:id="50">
    <w:p w14:paraId="5AC697D2" w14:textId="77777777" w:rsidR="00BD71B7" w:rsidRPr="00AF4EBD" w:rsidRDefault="00BD71B7" w:rsidP="00BD71B7">
      <w:pPr>
        <w:pBdr>
          <w:top w:val="nil"/>
          <w:left w:val="nil"/>
          <w:bottom w:val="nil"/>
          <w:right w:val="nil"/>
          <w:between w:val="nil"/>
        </w:pBdr>
        <w:rPr>
          <w:rFonts w:eastAsia="Arial" w:cs="Arial"/>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Directive (EU) 2022/2381 of the European Parliament and of the Council of 23 November 2022 on improving the gender balance among directors of listed companies and related measures [2022] OJ L315/44</w:t>
      </w:r>
    </w:p>
  </w:footnote>
  <w:footnote w:id="51">
    <w:p w14:paraId="0FBB4389" w14:textId="77777777" w:rsidR="00BD71B7" w:rsidRPr="00AF4EBD" w:rsidRDefault="00BD71B7" w:rsidP="00BD71B7">
      <w:pPr>
        <w:pBdr>
          <w:top w:val="nil"/>
          <w:left w:val="nil"/>
          <w:bottom w:val="nil"/>
          <w:right w:val="nil"/>
          <w:between w:val="nil"/>
        </w:pBdr>
        <w:rPr>
          <w:rFonts w:eastAsia="Arial" w:cs="Arial"/>
          <w:color w:val="000000"/>
          <w:sz w:val="20"/>
          <w:szCs w:val="20"/>
          <w:lang w:val="en-GB"/>
        </w:rPr>
      </w:pPr>
      <w:r w:rsidRPr="00AF4EBD">
        <w:rPr>
          <w:rStyle w:val="FootnoteReference"/>
          <w:lang w:val="en-GB"/>
        </w:rPr>
        <w:footnoteRef/>
      </w:r>
      <w:r w:rsidRPr="00AF4EBD">
        <w:rPr>
          <w:rFonts w:eastAsia="Arial" w:cs="Arial"/>
          <w:color w:val="000000"/>
          <w:sz w:val="20"/>
          <w:szCs w:val="20"/>
          <w:lang w:val="en-GB"/>
        </w:rPr>
        <w:t xml:space="preserve"> </w:t>
      </w:r>
      <w:r w:rsidRPr="00AF4EBD">
        <w:rPr>
          <w:rFonts w:ascii="Calibri" w:eastAsia="Calibri" w:hAnsi="Calibri" w:cs="Calibri"/>
          <w:color w:val="000000"/>
          <w:sz w:val="20"/>
          <w:szCs w:val="20"/>
          <w:lang w:val="en-GB"/>
        </w:rPr>
        <w:t>European Council, ‘Gender pay gap: Council adopts new rules on pay transparency’ (2023)  &lt;</w:t>
      </w:r>
      <w:hyperlink r:id="rId17">
        <w:r w:rsidRPr="00AF4EBD">
          <w:rPr>
            <w:rFonts w:ascii="Calibri" w:eastAsia="Calibri" w:hAnsi="Calibri" w:cs="Calibri"/>
            <w:color w:val="467886"/>
            <w:sz w:val="20"/>
            <w:szCs w:val="20"/>
            <w:u w:val="single"/>
            <w:lang w:val="en-GB"/>
          </w:rPr>
          <w:t>https://www.consilium.europa.eu/en/press/press-releases/2023/04/24/gender-pay-gap-council-adopts-new-rules-on-pay-transparency/</w:t>
        </w:r>
      </w:hyperlink>
      <w:r w:rsidRPr="00AF4EBD">
        <w:rPr>
          <w:rFonts w:ascii="Calibri" w:eastAsia="Calibri" w:hAnsi="Calibri" w:cs="Calibri"/>
          <w:color w:val="000000"/>
          <w:sz w:val="20"/>
          <w:szCs w:val="20"/>
          <w:lang w:val="en-GB"/>
        </w:rPr>
        <w:t>&gt; accessed 1 December 2023; European Council, ‘Pay Transparency in the EU’ (2023) &lt;</w:t>
      </w:r>
      <w:hyperlink r:id="rId18">
        <w:r w:rsidRPr="00AF4EBD">
          <w:rPr>
            <w:rFonts w:ascii="Calibri" w:eastAsia="Calibri" w:hAnsi="Calibri" w:cs="Calibri"/>
            <w:color w:val="467886"/>
            <w:sz w:val="20"/>
            <w:szCs w:val="20"/>
            <w:u w:val="single"/>
            <w:lang w:val="en-GB"/>
          </w:rPr>
          <w:t>https://www.consilium.europa.eu/en/policies/pay-transparency/</w:t>
        </w:r>
      </w:hyperlink>
      <w:r w:rsidRPr="00AF4EBD">
        <w:rPr>
          <w:rFonts w:ascii="Calibri" w:eastAsia="Calibri" w:hAnsi="Calibri" w:cs="Calibri"/>
          <w:color w:val="000000"/>
          <w:sz w:val="20"/>
          <w:szCs w:val="20"/>
          <w:lang w:val="en-GB"/>
        </w:rPr>
        <w:t>&gt; accessed 1 December 2023; European Parliament and Council Directive (EU) 2023/970 of 10 May 2023 to strengthen the application of the principle of equal pay for equal work or work of equal value between men and women through pay transparency and enforcement mechanisms [2023] OJ L132/21</w:t>
      </w:r>
      <w:r w:rsidRPr="00AF4EBD">
        <w:rPr>
          <w:rFonts w:eastAsia="Arial" w:cs="Arial"/>
          <w:color w:val="000000"/>
          <w:sz w:val="20"/>
          <w:szCs w:val="20"/>
          <w:lang w:val="en-GB"/>
        </w:rPr>
        <w:t xml:space="preserve">    </w:t>
      </w:r>
    </w:p>
  </w:footnote>
  <w:footnote w:id="52">
    <w:p w14:paraId="1E1A95FE"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color w:val="000000"/>
          <w:sz w:val="20"/>
          <w:szCs w:val="20"/>
          <w:lang w:val="en-GB"/>
        </w:rPr>
        <w:t xml:space="preserve"> </w:t>
      </w:r>
      <w:r w:rsidRPr="00AF4EBD">
        <w:rPr>
          <w:rFonts w:ascii="Calibri" w:eastAsia="Calibri" w:hAnsi="Calibri" w:cs="Calibri"/>
          <w:color w:val="000000"/>
          <w:sz w:val="20"/>
          <w:szCs w:val="20"/>
          <w:lang w:val="en-GB"/>
        </w:rPr>
        <w:t>European Parliament and Council Directive (EU) 2023/970 of 10 May 2023 to strengthen the application of the principle of equal pay for equal work or work of equal value between men and women through pay transparency and enforcement mechanisms [2023] OJ L132/21    </w:t>
      </w:r>
    </w:p>
  </w:footnote>
  <w:footnote w:id="53">
    <w:p w14:paraId="7CF90617"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 </w:t>
      </w:r>
    </w:p>
  </w:footnote>
  <w:footnote w:id="54">
    <w:p w14:paraId="786B91DE"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Art. 5 of the Directive</w:t>
      </w:r>
    </w:p>
  </w:footnote>
  <w:footnote w:id="55">
    <w:p w14:paraId="51C7F90B"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Art. 7 of the Directive</w:t>
      </w:r>
    </w:p>
  </w:footnote>
  <w:footnote w:id="56">
    <w:p w14:paraId="2633EAAD" w14:textId="131A2F68" w:rsidR="00AF4EBD" w:rsidRPr="001D6633"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Art. 9 of the Directive</w:t>
      </w:r>
    </w:p>
  </w:footnote>
  <w:footnote w:id="57">
    <w:p w14:paraId="376FF86A"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Art. 10 of the Directive</w:t>
      </w:r>
    </w:p>
  </w:footnote>
  <w:footnote w:id="58">
    <w:p w14:paraId="5D99C236"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Art. 15-18; Art. 22-24; Art. 27 of the Directive</w:t>
      </w:r>
    </w:p>
  </w:footnote>
  <w:footnote w:id="59">
    <w:p w14:paraId="6EBC8B4C" w14:textId="77777777" w:rsidR="00BD71B7" w:rsidRPr="00AF4EBD" w:rsidRDefault="00BD71B7" w:rsidP="00BD71B7">
      <w:pPr>
        <w:pBdr>
          <w:top w:val="nil"/>
          <w:left w:val="nil"/>
          <w:bottom w:val="nil"/>
          <w:right w:val="nil"/>
          <w:between w:val="nil"/>
        </w:pBdr>
        <w:rPr>
          <w:rFonts w:ascii="Calibri" w:eastAsia="Calibri" w:hAnsi="Calibri" w:cs="Calibri"/>
          <w: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Sara Benedi Lahuerta, ‘EU transparency legislation to address gender pay inequity: What is on the horizon and its likely impact in Ireland’ (2022) 24 Irish Journal of European Law 161; Sara Benedi Lahuerta, Katharina Miller and Laura Carlson (eds), </w:t>
      </w:r>
      <w:r w:rsidRPr="00AF4EBD">
        <w:rPr>
          <w:rFonts w:ascii="Calibri" w:eastAsia="Calibri" w:hAnsi="Calibri" w:cs="Calibri"/>
          <w:i/>
          <w:color w:val="000000"/>
          <w:sz w:val="20"/>
          <w:szCs w:val="20"/>
          <w:lang w:val="en-GB"/>
        </w:rPr>
        <w:t>Bridging the Gender Pay Gap through Transparency</w:t>
      </w:r>
    </w:p>
    <w:p w14:paraId="5238E236"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Fonts w:ascii="Calibri" w:eastAsia="Calibri" w:hAnsi="Calibri" w:cs="Calibri"/>
          <w:i/>
          <w:color w:val="000000"/>
          <w:sz w:val="20"/>
          <w:szCs w:val="20"/>
          <w:lang w:val="en-GB"/>
        </w:rPr>
        <w:t>Comparative Approaches and Key Regulatory Conundrums</w:t>
      </w:r>
      <w:r w:rsidRPr="00AF4EBD">
        <w:rPr>
          <w:rFonts w:ascii="Calibri" w:eastAsia="Calibri" w:hAnsi="Calibri" w:cs="Calibri"/>
          <w:color w:val="000000"/>
          <w:sz w:val="20"/>
          <w:szCs w:val="20"/>
          <w:lang w:val="en-GB"/>
        </w:rPr>
        <w:t xml:space="preserve"> (Edward Elgar Publishing 2024) 13</w:t>
      </w:r>
    </w:p>
  </w:footnote>
  <w:footnote w:id="60">
    <w:p w14:paraId="6B4B1857"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Ibid</w:t>
      </w:r>
    </w:p>
  </w:footnote>
  <w:footnote w:id="61">
    <w:p w14:paraId="3AF1C2EF" w14:textId="77777777" w:rsidR="00BD71B7" w:rsidRPr="00AF4EBD" w:rsidRDefault="00BD71B7" w:rsidP="00BD71B7">
      <w:pPr>
        <w:rPr>
          <w:sz w:val="20"/>
          <w:szCs w:val="20"/>
          <w:lang w:val="en-GB"/>
        </w:rPr>
      </w:pPr>
      <w:r w:rsidRPr="00AF4EBD">
        <w:rPr>
          <w:rStyle w:val="FootnoteReference"/>
          <w:lang w:val="en-GB"/>
        </w:rPr>
        <w:footnoteRef/>
      </w:r>
      <w:r w:rsidRPr="00AF4EBD">
        <w:rPr>
          <w:sz w:val="20"/>
          <w:szCs w:val="20"/>
          <w:lang w:val="en-GB"/>
        </w:rPr>
        <w:t xml:space="preserve"> </w:t>
      </w:r>
      <w:r w:rsidRPr="00AF4EBD">
        <w:rPr>
          <w:rFonts w:ascii="Calibri" w:eastAsia="Calibri" w:hAnsi="Calibri" w:cs="Calibri"/>
          <w:sz w:val="20"/>
          <w:szCs w:val="20"/>
          <w:lang w:val="en-GB"/>
        </w:rPr>
        <w:t>Sandra Fredman, ‘Inching Forward: Preliminary Victory for Equal Value at Tesco and Asda’ (2022) 51:1 Industrial Law Journal 166</w:t>
      </w:r>
    </w:p>
  </w:footnote>
  <w:footnote w:id="62">
    <w:p w14:paraId="67D011EE"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European Commission, ‘A Union of Equality: Gender Equality Strategy 2020-2025’ COM/2020/152 (European Commission 5 March 2020) &lt;</w:t>
      </w:r>
      <w:hyperlink r:id="rId19">
        <w:r w:rsidRPr="00AF4EBD">
          <w:rPr>
            <w:rFonts w:ascii="Calibri" w:eastAsia="Calibri" w:hAnsi="Calibri" w:cs="Calibri"/>
            <w:color w:val="0000FF"/>
            <w:sz w:val="20"/>
            <w:szCs w:val="20"/>
            <w:u w:val="single"/>
            <w:lang w:val="en-GB"/>
          </w:rPr>
          <w:t>https://eur-lex.europa.eu/legal-content/EN/TXT/PDF/?uri=CELEX:52020DC0152</w:t>
        </w:r>
      </w:hyperlink>
      <w:r w:rsidRPr="00AF4EBD">
        <w:rPr>
          <w:rFonts w:ascii="Calibri" w:eastAsia="Calibri" w:hAnsi="Calibri" w:cs="Calibri"/>
          <w:color w:val="000000"/>
          <w:sz w:val="20"/>
          <w:szCs w:val="20"/>
          <w:lang w:val="en-GB"/>
        </w:rPr>
        <w:t>&gt; accessed 20 July 2024</w:t>
      </w:r>
    </w:p>
  </w:footnote>
  <w:footnote w:id="63">
    <w:p w14:paraId="344CBFC3" w14:textId="77777777" w:rsidR="00BD71B7" w:rsidRPr="00AF4EBD"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eastAsia="Arial" w:cs="Arial"/>
          <w:color w:val="000000"/>
          <w:sz w:val="20"/>
          <w:szCs w:val="20"/>
          <w:lang w:val="en-GB"/>
        </w:rPr>
        <w:t xml:space="preserve"> </w:t>
      </w:r>
      <w:r w:rsidRPr="00AF4EBD">
        <w:rPr>
          <w:rFonts w:ascii="Calibri" w:eastAsia="Calibri" w:hAnsi="Calibri" w:cs="Calibri"/>
          <w:color w:val="000000"/>
          <w:sz w:val="20"/>
          <w:szCs w:val="20"/>
          <w:lang w:val="en-GB"/>
        </w:rPr>
        <w:t>Mavhuthu Musetsho, Nicoleta Isac and Cosmin Dobrin, ‘Gender Inequalities in the Workplace: Case Study of South Africa’ (2021) 6 no. 1, Management Economic Review 70</w:t>
      </w:r>
    </w:p>
  </w:footnote>
  <w:footnote w:id="64">
    <w:p w14:paraId="1DE74A7F" w14:textId="100635C6" w:rsidR="00AF4EBD" w:rsidRPr="002E7E3A" w:rsidRDefault="00BD71B7" w:rsidP="00BD71B7">
      <w:pPr>
        <w:pBdr>
          <w:top w:val="nil"/>
          <w:left w:val="nil"/>
          <w:bottom w:val="nil"/>
          <w:right w:val="nil"/>
          <w:between w:val="nil"/>
        </w:pBdr>
        <w:rPr>
          <w:rFonts w:ascii="Calibri" w:eastAsia="Calibri" w:hAnsi="Calibri" w:cs="Calibri"/>
          <w:color w:val="000000"/>
          <w:sz w:val="20"/>
          <w:szCs w:val="20"/>
          <w:lang w:val="en-GB"/>
        </w:rPr>
      </w:pPr>
      <w:r w:rsidRPr="00AF4EBD">
        <w:rPr>
          <w:rStyle w:val="FootnoteReference"/>
          <w:lang w:val="en-GB"/>
        </w:rPr>
        <w:footnoteRef/>
      </w:r>
      <w:r w:rsidRPr="00AF4EBD">
        <w:rPr>
          <w:rFonts w:ascii="Calibri" w:eastAsia="Calibri" w:hAnsi="Calibri" w:cs="Calibri"/>
          <w:color w:val="000000"/>
          <w:sz w:val="20"/>
          <w:szCs w:val="20"/>
          <w:lang w:val="en-GB"/>
        </w:rPr>
        <w:t xml:space="preserve"> Haroon Bhorata and Sumayya Gogab, ‘The Gender Wage Gap in Post-Apartheid South Africa: A Re-examination’ (2013) Journal of African Economies 1; Liezel Lues, ‘The history of professional African women: a South African perspective’ (2005) 4 no. 1, Interim: Interdisciplinary Journal 103-123</w:t>
      </w:r>
    </w:p>
  </w:footnote>
  <w:footnote w:id="65">
    <w:p w14:paraId="717A703A" w14:textId="77777777" w:rsidR="00BD71B7" w:rsidRPr="008C034F" w:rsidRDefault="00BD71B7" w:rsidP="00BD71B7">
      <w:pPr>
        <w:pBdr>
          <w:top w:val="nil"/>
          <w:left w:val="nil"/>
          <w:bottom w:val="nil"/>
          <w:right w:val="nil"/>
          <w:between w:val="nil"/>
        </w:pBdr>
        <w:rPr>
          <w:rFonts w:ascii="Calibri" w:eastAsia="Calibri" w:hAnsi="Calibri" w:cs="Calibri"/>
          <w:color w:val="000000"/>
          <w:sz w:val="20"/>
          <w:szCs w:val="20"/>
          <w:lang w:val="en-GB"/>
        </w:rPr>
      </w:pPr>
      <w:r w:rsidRPr="008C034F">
        <w:rPr>
          <w:rStyle w:val="FootnoteReference"/>
          <w:lang w:val="en-GB"/>
        </w:rPr>
        <w:footnoteRef/>
      </w:r>
      <w:r w:rsidRPr="008C034F">
        <w:rPr>
          <w:rFonts w:ascii="Calibri" w:eastAsia="Calibri" w:hAnsi="Calibri" w:cs="Calibri"/>
          <w:color w:val="000000"/>
          <w:sz w:val="20"/>
          <w:szCs w:val="20"/>
          <w:lang w:val="en-GB"/>
        </w:rPr>
        <w:t xml:space="preserve"> Bhorata and Gogab</w:t>
      </w:r>
      <w:r w:rsidRPr="008C034F">
        <w:rPr>
          <w:rFonts w:ascii="Calibri" w:eastAsia="Calibri" w:hAnsi="Calibri" w:cs="Calibri"/>
          <w:sz w:val="20"/>
          <w:szCs w:val="20"/>
          <w:lang w:val="en-GB"/>
        </w:rPr>
        <w:t xml:space="preserve"> (n 251)</w:t>
      </w:r>
      <w:r w:rsidRPr="008C034F">
        <w:rPr>
          <w:rFonts w:ascii="Calibri" w:eastAsia="Calibri" w:hAnsi="Calibri" w:cs="Calibri"/>
          <w:color w:val="000000"/>
          <w:sz w:val="20"/>
          <w:szCs w:val="20"/>
          <w:lang w:val="en-GB"/>
        </w:rPr>
        <w:t xml:space="preserve">; Miracle Ntuli, ‘Exploring gender wage “discrimination” in South Africa, 1995-2004: A Quantile Regression Approach in Ravi Kanbur and Jan Svejnar (eds), </w:t>
      </w:r>
      <w:r w:rsidRPr="008C034F">
        <w:rPr>
          <w:rFonts w:ascii="Calibri" w:eastAsia="Calibri" w:hAnsi="Calibri" w:cs="Calibri"/>
          <w:i/>
          <w:color w:val="000000"/>
          <w:sz w:val="20"/>
          <w:szCs w:val="20"/>
          <w:lang w:val="en-GB"/>
        </w:rPr>
        <w:t>Labor Markets and Economic Development</w:t>
      </w:r>
      <w:r w:rsidRPr="008C034F">
        <w:rPr>
          <w:rFonts w:ascii="Calibri" w:eastAsia="Calibri" w:hAnsi="Calibri" w:cs="Calibri"/>
          <w:color w:val="000000"/>
          <w:sz w:val="20"/>
          <w:szCs w:val="20"/>
          <w:lang w:val="en-GB"/>
        </w:rPr>
        <w:t>, (Routledge 2009) 468</w:t>
      </w:r>
    </w:p>
  </w:footnote>
  <w:footnote w:id="66">
    <w:p w14:paraId="0130513E" w14:textId="77777777" w:rsidR="00BD71B7" w:rsidRPr="008C034F" w:rsidRDefault="00BD71B7" w:rsidP="00BD71B7">
      <w:pPr>
        <w:pBdr>
          <w:top w:val="nil"/>
          <w:left w:val="nil"/>
          <w:bottom w:val="nil"/>
          <w:right w:val="nil"/>
          <w:between w:val="nil"/>
        </w:pBdr>
        <w:rPr>
          <w:rFonts w:ascii="Calibri" w:eastAsia="Calibri" w:hAnsi="Calibri" w:cs="Calibri"/>
          <w:color w:val="000000"/>
          <w:sz w:val="20"/>
          <w:szCs w:val="20"/>
          <w:lang w:val="en-GB"/>
        </w:rPr>
      </w:pPr>
      <w:r w:rsidRPr="008C034F">
        <w:rPr>
          <w:rStyle w:val="FootnoteReference"/>
          <w:lang w:val="en-GB"/>
        </w:rPr>
        <w:footnoteRef/>
      </w:r>
      <w:r w:rsidRPr="008C034F">
        <w:rPr>
          <w:rFonts w:ascii="Calibri" w:eastAsia="Calibri" w:hAnsi="Calibri" w:cs="Calibri"/>
          <w:color w:val="000000"/>
          <w:sz w:val="20"/>
          <w:szCs w:val="20"/>
          <w:lang w:val="en-GB"/>
        </w:rPr>
        <w:t xml:space="preserve"> Employment Equity Act 55 of 1998; Employment Equity Amendment Act 47 of 2013; Shamier Ebrahim, ‘Equal Pay for Work of Equal Value in Terms of the Employment Equity Act 55 of 1998: Lessons from the International Labour Organisation and the United Kingdom’ (2016) 19 PELJ 1</w:t>
      </w:r>
    </w:p>
  </w:footnote>
  <w:footnote w:id="67">
    <w:p w14:paraId="35A967DA" w14:textId="77777777" w:rsidR="00BD71B7" w:rsidRPr="008C034F" w:rsidRDefault="00BD71B7" w:rsidP="00BD71B7">
      <w:pPr>
        <w:pBdr>
          <w:top w:val="nil"/>
          <w:left w:val="nil"/>
          <w:bottom w:val="nil"/>
          <w:right w:val="nil"/>
          <w:between w:val="nil"/>
        </w:pBdr>
        <w:rPr>
          <w:rFonts w:ascii="Calibri" w:eastAsia="Calibri" w:hAnsi="Calibri" w:cs="Calibri"/>
          <w:color w:val="000000"/>
          <w:sz w:val="20"/>
          <w:szCs w:val="20"/>
          <w:lang w:val="en-GB"/>
        </w:rPr>
      </w:pPr>
      <w:r w:rsidRPr="008C034F">
        <w:rPr>
          <w:rStyle w:val="FootnoteReference"/>
          <w:lang w:val="en-GB"/>
        </w:rPr>
        <w:footnoteRef/>
      </w:r>
      <w:r w:rsidRPr="008C034F">
        <w:rPr>
          <w:rFonts w:ascii="Calibri" w:eastAsia="Calibri" w:hAnsi="Calibri" w:cs="Calibri"/>
          <w:color w:val="000000"/>
          <w:sz w:val="20"/>
          <w:szCs w:val="20"/>
          <w:lang w:val="en-GB"/>
        </w:rPr>
        <w:t>Louw v Golden Arrow Bus Services 2000 21 ILJ (LC) 188 para 23</w:t>
      </w:r>
    </w:p>
  </w:footnote>
  <w:footnote w:id="68">
    <w:p w14:paraId="3F01F61B" w14:textId="77777777" w:rsidR="00BD71B7" w:rsidRPr="008C034F" w:rsidRDefault="00BD71B7" w:rsidP="00BD71B7">
      <w:pPr>
        <w:pBdr>
          <w:top w:val="nil"/>
          <w:left w:val="nil"/>
          <w:bottom w:val="nil"/>
          <w:right w:val="nil"/>
          <w:between w:val="nil"/>
        </w:pBdr>
        <w:rPr>
          <w:color w:val="000000"/>
          <w:sz w:val="20"/>
          <w:szCs w:val="20"/>
          <w:lang w:val="en-GB"/>
        </w:rPr>
      </w:pPr>
      <w:r w:rsidRPr="008C034F">
        <w:rPr>
          <w:rStyle w:val="FootnoteReference"/>
          <w:lang w:val="en-GB"/>
        </w:rPr>
        <w:footnoteRef/>
      </w:r>
      <w:r w:rsidRPr="008C034F">
        <w:rPr>
          <w:rFonts w:ascii="Calibri" w:eastAsia="Calibri" w:hAnsi="Calibri" w:cs="Calibri"/>
          <w:color w:val="000000"/>
          <w:sz w:val="20"/>
          <w:szCs w:val="20"/>
          <w:lang w:val="en-GB"/>
        </w:rPr>
        <w:t xml:space="preserve"> Ibid; Mangena v Fila South Africa 2009 12 BLLR 1224 (LC) para 5</w:t>
      </w:r>
    </w:p>
  </w:footnote>
  <w:footnote w:id="69">
    <w:p w14:paraId="494B3BEE" w14:textId="77777777" w:rsidR="00BD71B7" w:rsidRPr="008C034F" w:rsidRDefault="00BD71B7" w:rsidP="00BD71B7">
      <w:pPr>
        <w:pBdr>
          <w:top w:val="nil"/>
          <w:left w:val="nil"/>
          <w:bottom w:val="nil"/>
          <w:right w:val="nil"/>
          <w:between w:val="nil"/>
        </w:pBdr>
        <w:rPr>
          <w:rFonts w:ascii="Calibri" w:eastAsia="Calibri" w:hAnsi="Calibri" w:cs="Calibri"/>
          <w:color w:val="000000"/>
          <w:sz w:val="20"/>
          <w:szCs w:val="20"/>
          <w:lang w:val="en-GB"/>
        </w:rPr>
      </w:pPr>
      <w:r w:rsidRPr="008C034F">
        <w:rPr>
          <w:rStyle w:val="FootnoteReference"/>
          <w:lang w:val="en-GB"/>
        </w:rPr>
        <w:footnoteRef/>
      </w:r>
      <w:r w:rsidRPr="008C034F">
        <w:rPr>
          <w:rFonts w:ascii="Calibri" w:eastAsia="Calibri" w:hAnsi="Calibri" w:cs="Calibri"/>
          <w:color w:val="000000"/>
          <w:sz w:val="20"/>
          <w:szCs w:val="20"/>
          <w:lang w:val="en-GB"/>
        </w:rPr>
        <w:t>Muzi Maziya, ‘Contemporary Labour Market Policy and Poverty in South Africa’ [1999] No. 99/34 DPRU University of Cape Town 2</w:t>
      </w:r>
    </w:p>
  </w:footnote>
  <w:footnote w:id="70">
    <w:p w14:paraId="6646F64C" w14:textId="77777777" w:rsidR="00BD71B7" w:rsidRPr="008C034F" w:rsidRDefault="00BD71B7" w:rsidP="00BD71B7">
      <w:pPr>
        <w:pBdr>
          <w:top w:val="nil"/>
          <w:left w:val="nil"/>
          <w:bottom w:val="nil"/>
          <w:right w:val="nil"/>
          <w:between w:val="nil"/>
        </w:pBdr>
        <w:rPr>
          <w:rFonts w:ascii="Calibri" w:eastAsia="Calibri" w:hAnsi="Calibri" w:cs="Calibri"/>
          <w:color w:val="000000"/>
          <w:sz w:val="20"/>
          <w:szCs w:val="20"/>
          <w:highlight w:val="yellow"/>
          <w:lang w:val="en-GB"/>
        </w:rPr>
      </w:pPr>
      <w:r w:rsidRPr="008C034F">
        <w:rPr>
          <w:rStyle w:val="FootnoteReference"/>
          <w:lang w:val="en-GB"/>
        </w:rPr>
        <w:footnoteRef/>
      </w:r>
      <w:r w:rsidRPr="008C034F">
        <w:rPr>
          <w:rFonts w:ascii="Calibri" w:eastAsia="Calibri" w:hAnsi="Calibri" w:cs="Calibri"/>
          <w:color w:val="000000"/>
          <w:sz w:val="20"/>
          <w:szCs w:val="20"/>
          <w:lang w:val="en-GB"/>
        </w:rPr>
        <w:t xml:space="preserve"> </w:t>
      </w:r>
      <w:r w:rsidRPr="008C034F">
        <w:rPr>
          <w:rFonts w:ascii="Calibri" w:eastAsia="Calibri" w:hAnsi="Calibri" w:cs="Calibri"/>
          <w:sz w:val="20"/>
          <w:szCs w:val="20"/>
          <w:lang w:val="en-GB"/>
        </w:rPr>
        <w:t xml:space="preserve">Labour Relations Act 1995 (SA) </w:t>
      </w:r>
    </w:p>
  </w:footnote>
  <w:footnote w:id="71">
    <w:p w14:paraId="4B639D79" w14:textId="77777777" w:rsidR="00BD71B7" w:rsidRPr="008C034F" w:rsidRDefault="00BD71B7" w:rsidP="00BD71B7">
      <w:pPr>
        <w:pBdr>
          <w:top w:val="nil"/>
          <w:left w:val="nil"/>
          <w:bottom w:val="nil"/>
          <w:right w:val="nil"/>
          <w:between w:val="nil"/>
        </w:pBdr>
        <w:rPr>
          <w:rFonts w:ascii="Calibri" w:eastAsia="Calibri" w:hAnsi="Calibri" w:cs="Calibri"/>
          <w:color w:val="000000"/>
          <w:sz w:val="20"/>
          <w:szCs w:val="20"/>
          <w:lang w:val="en-GB"/>
        </w:rPr>
      </w:pPr>
      <w:r w:rsidRPr="008C034F">
        <w:rPr>
          <w:rStyle w:val="FootnoteReference"/>
          <w:lang w:val="en-GB"/>
        </w:rPr>
        <w:footnoteRef/>
      </w:r>
      <w:r w:rsidRPr="008C034F">
        <w:rPr>
          <w:rFonts w:ascii="Calibri" w:eastAsia="Calibri" w:hAnsi="Calibri" w:cs="Calibri"/>
          <w:color w:val="000000"/>
          <w:sz w:val="20"/>
          <w:szCs w:val="20"/>
          <w:lang w:val="en-GB"/>
        </w:rPr>
        <w:t xml:space="preserve"> </w:t>
      </w:r>
      <w:r w:rsidRPr="008C034F">
        <w:rPr>
          <w:rFonts w:ascii="Calibri" w:eastAsia="Calibri" w:hAnsi="Calibri" w:cs="Calibri"/>
          <w:sz w:val="20"/>
          <w:szCs w:val="20"/>
          <w:lang w:val="en-GB"/>
        </w:rPr>
        <w:t>Labour Relations Act amendments of 2015 (SA)</w:t>
      </w:r>
    </w:p>
  </w:footnote>
  <w:footnote w:id="72">
    <w:p w14:paraId="479CF8F5" w14:textId="77777777" w:rsidR="00BD71B7" w:rsidRPr="008C034F" w:rsidRDefault="00BD71B7" w:rsidP="00BD71B7">
      <w:pPr>
        <w:pBdr>
          <w:top w:val="nil"/>
          <w:left w:val="nil"/>
          <w:bottom w:val="nil"/>
          <w:right w:val="nil"/>
          <w:between w:val="nil"/>
        </w:pBdr>
        <w:rPr>
          <w:rFonts w:ascii="Calibri" w:eastAsia="Calibri" w:hAnsi="Calibri" w:cs="Calibri"/>
          <w:color w:val="000000"/>
          <w:sz w:val="20"/>
          <w:szCs w:val="20"/>
          <w:highlight w:val="yellow"/>
          <w:lang w:val="en-GB"/>
        </w:rPr>
      </w:pPr>
      <w:r w:rsidRPr="008C034F">
        <w:rPr>
          <w:rStyle w:val="FootnoteReference"/>
          <w:lang w:val="en-GB"/>
        </w:rPr>
        <w:footnoteRef/>
      </w:r>
      <w:r w:rsidRPr="008C034F">
        <w:rPr>
          <w:rFonts w:ascii="Calibri" w:eastAsia="Calibri" w:hAnsi="Calibri" w:cs="Calibri"/>
          <w:color w:val="000000"/>
          <w:sz w:val="20"/>
          <w:szCs w:val="20"/>
          <w:lang w:val="en-GB"/>
        </w:rPr>
        <w:t xml:space="preserve"> </w:t>
      </w:r>
      <w:r w:rsidRPr="008C034F">
        <w:rPr>
          <w:rFonts w:ascii="Calibri" w:eastAsia="Calibri" w:hAnsi="Calibri" w:cs="Calibri"/>
          <w:sz w:val="20"/>
          <w:szCs w:val="20"/>
          <w:lang w:val="en-GB"/>
        </w:rPr>
        <w:t>Skill Development Act 1998 (SA)</w:t>
      </w:r>
    </w:p>
  </w:footnote>
  <w:footnote w:id="73">
    <w:p w14:paraId="6C07AC36" w14:textId="77777777" w:rsidR="00BD71B7" w:rsidRPr="008C034F" w:rsidRDefault="00BD71B7" w:rsidP="00BD71B7">
      <w:pPr>
        <w:pBdr>
          <w:top w:val="nil"/>
          <w:left w:val="nil"/>
          <w:bottom w:val="nil"/>
          <w:right w:val="nil"/>
          <w:between w:val="nil"/>
        </w:pBdr>
        <w:rPr>
          <w:rFonts w:ascii="Calibri" w:eastAsia="Calibri" w:hAnsi="Calibri" w:cs="Calibri"/>
          <w:color w:val="000000"/>
          <w:sz w:val="20"/>
          <w:szCs w:val="20"/>
          <w:highlight w:val="yellow"/>
          <w:lang w:val="en-GB"/>
        </w:rPr>
      </w:pPr>
      <w:r w:rsidRPr="008C034F">
        <w:rPr>
          <w:rStyle w:val="FootnoteReference"/>
          <w:lang w:val="en-GB"/>
        </w:rPr>
        <w:footnoteRef/>
      </w:r>
      <w:r w:rsidRPr="008C034F">
        <w:rPr>
          <w:rFonts w:ascii="Calibri" w:eastAsia="Calibri" w:hAnsi="Calibri" w:cs="Calibri"/>
          <w:sz w:val="20"/>
          <w:szCs w:val="20"/>
          <w:lang w:val="en-GB"/>
        </w:rPr>
        <w:t xml:space="preserve"> Basic Conditions of Employment Act 1997 (SA)</w:t>
      </w:r>
    </w:p>
  </w:footnote>
  <w:footnote w:id="74">
    <w:p w14:paraId="7D669251" w14:textId="77777777" w:rsidR="00BD71B7" w:rsidRPr="008C034F" w:rsidRDefault="00BD71B7" w:rsidP="00BD71B7">
      <w:pPr>
        <w:pBdr>
          <w:top w:val="nil"/>
          <w:left w:val="nil"/>
          <w:bottom w:val="nil"/>
          <w:right w:val="nil"/>
          <w:between w:val="nil"/>
        </w:pBdr>
        <w:rPr>
          <w:rFonts w:ascii="Calibri" w:eastAsia="Calibri" w:hAnsi="Calibri" w:cs="Calibri"/>
          <w:color w:val="000000"/>
          <w:sz w:val="20"/>
          <w:szCs w:val="20"/>
          <w:lang w:val="en-GB"/>
        </w:rPr>
      </w:pPr>
      <w:r w:rsidRPr="008C034F">
        <w:rPr>
          <w:rStyle w:val="FootnoteReference"/>
          <w:lang w:val="en-GB"/>
        </w:rPr>
        <w:footnoteRef/>
      </w:r>
      <w:r w:rsidRPr="008C034F">
        <w:rPr>
          <w:rFonts w:ascii="Calibri" w:eastAsia="Calibri" w:hAnsi="Calibri" w:cs="Calibri"/>
          <w:color w:val="000000"/>
          <w:sz w:val="20"/>
          <w:szCs w:val="20"/>
          <w:lang w:val="en-GB"/>
        </w:rPr>
        <w:t xml:space="preserve"> </w:t>
      </w:r>
      <w:r w:rsidRPr="008C034F">
        <w:rPr>
          <w:rFonts w:ascii="Calibri" w:eastAsia="Calibri" w:hAnsi="Calibri" w:cs="Calibri"/>
          <w:sz w:val="20"/>
          <w:szCs w:val="20"/>
          <w:lang w:val="en-GB"/>
        </w:rPr>
        <w:t>Promotion of Equality and Prevention of Unfair Discrimination Act (PEPUDA) 4 of 2000 (SA)</w:t>
      </w:r>
    </w:p>
  </w:footnote>
  <w:footnote w:id="75">
    <w:p w14:paraId="21123A65" w14:textId="04AD9AD9" w:rsidR="00AF4EBD" w:rsidRPr="0071268A" w:rsidRDefault="00BD71B7" w:rsidP="00BD71B7">
      <w:pPr>
        <w:pBdr>
          <w:top w:val="nil"/>
          <w:left w:val="nil"/>
          <w:bottom w:val="nil"/>
          <w:right w:val="nil"/>
          <w:between w:val="nil"/>
        </w:pBdr>
        <w:rPr>
          <w:rFonts w:ascii="Calibri" w:eastAsia="Calibri" w:hAnsi="Calibri" w:cs="Calibri"/>
          <w:color w:val="000000"/>
          <w:sz w:val="20"/>
          <w:szCs w:val="20"/>
          <w:lang w:val="it-IT"/>
        </w:rPr>
      </w:pPr>
      <w:r w:rsidRPr="008C034F">
        <w:rPr>
          <w:rStyle w:val="FootnoteReference"/>
          <w:lang w:val="en-GB"/>
        </w:rPr>
        <w:footnoteRef/>
      </w:r>
      <w:r w:rsidRPr="00722C22">
        <w:rPr>
          <w:rFonts w:ascii="Calibri" w:eastAsia="Calibri" w:hAnsi="Calibri" w:cs="Calibri"/>
          <w:color w:val="000000"/>
          <w:sz w:val="20"/>
          <w:szCs w:val="20"/>
          <w:lang w:val="it-IT"/>
        </w:rPr>
        <w:t xml:space="preserve"> Mangena v Fila South Africa 2009 12 BLLR 1224 (LC) para 11</w:t>
      </w:r>
    </w:p>
  </w:footnote>
  <w:footnote w:id="76">
    <w:p w14:paraId="4CB140E3" w14:textId="77777777" w:rsidR="00BD71B7" w:rsidRPr="008C034F" w:rsidRDefault="00BD71B7" w:rsidP="00BD71B7">
      <w:pPr>
        <w:pBdr>
          <w:top w:val="nil"/>
          <w:left w:val="nil"/>
          <w:bottom w:val="nil"/>
          <w:right w:val="nil"/>
          <w:between w:val="nil"/>
        </w:pBdr>
        <w:rPr>
          <w:rFonts w:ascii="Tahoma" w:eastAsia="Tahoma" w:hAnsi="Tahoma" w:cs="Tahoma"/>
          <w:color w:val="000000"/>
          <w:sz w:val="19"/>
          <w:szCs w:val="19"/>
          <w:lang w:val="en-GB"/>
        </w:rPr>
      </w:pPr>
      <w:r w:rsidRPr="008C034F">
        <w:rPr>
          <w:rStyle w:val="FootnoteReference"/>
          <w:lang w:val="en-GB"/>
        </w:rPr>
        <w:footnoteRef/>
      </w:r>
      <w:r w:rsidRPr="008C034F">
        <w:rPr>
          <w:rFonts w:ascii="Calibri" w:eastAsia="Calibri" w:hAnsi="Calibri" w:cs="Calibri"/>
          <w:color w:val="000000"/>
          <w:sz w:val="20"/>
          <w:szCs w:val="20"/>
          <w:lang w:val="en-GB"/>
        </w:rPr>
        <w:t xml:space="preserve"> Ebrahim (n </w:t>
      </w:r>
      <w:r w:rsidRPr="008C034F">
        <w:rPr>
          <w:rFonts w:ascii="Calibri" w:eastAsia="Calibri" w:hAnsi="Calibri" w:cs="Calibri"/>
          <w:sz w:val="20"/>
          <w:szCs w:val="20"/>
          <w:lang w:val="en-GB"/>
        </w:rPr>
        <w:t>253)</w:t>
      </w:r>
    </w:p>
  </w:footnote>
  <w:footnote w:id="77">
    <w:p w14:paraId="47133468" w14:textId="77777777" w:rsidR="00BD71B7" w:rsidRPr="008C034F" w:rsidRDefault="00BD71B7" w:rsidP="00BD71B7">
      <w:pPr>
        <w:spacing w:line="360" w:lineRule="auto"/>
        <w:jc w:val="both"/>
        <w:rPr>
          <w:rFonts w:ascii="Calibri" w:eastAsia="Calibri" w:hAnsi="Calibri" w:cs="Calibri"/>
          <w:color w:val="000000"/>
          <w:sz w:val="20"/>
          <w:szCs w:val="20"/>
          <w:highlight w:val="yellow"/>
          <w:lang w:val="en-GB"/>
        </w:rPr>
      </w:pPr>
      <w:r w:rsidRPr="008C034F">
        <w:rPr>
          <w:rStyle w:val="FootnoteReference"/>
          <w:lang w:val="en-GB"/>
        </w:rPr>
        <w:footnoteRef/>
      </w:r>
      <w:r w:rsidRPr="008C034F">
        <w:rPr>
          <w:rFonts w:ascii="Calibri" w:eastAsia="Calibri" w:hAnsi="Calibri" w:cs="Calibri"/>
          <w:sz w:val="20"/>
          <w:szCs w:val="20"/>
          <w:lang w:val="en-GB"/>
        </w:rPr>
        <w:t xml:space="preserve"> Code of Good Practice on Equal Pay/Remuneration for Work of Equal Value 2015 (SA)</w:t>
      </w:r>
    </w:p>
  </w:footnote>
  <w:footnote w:id="78">
    <w:p w14:paraId="46CE61DB" w14:textId="77777777" w:rsidR="00BD71B7" w:rsidRPr="008C034F" w:rsidRDefault="00BD71B7" w:rsidP="00BD71B7">
      <w:pPr>
        <w:pBdr>
          <w:top w:val="nil"/>
          <w:left w:val="nil"/>
          <w:bottom w:val="nil"/>
          <w:right w:val="nil"/>
          <w:between w:val="nil"/>
        </w:pBdr>
        <w:rPr>
          <w:rFonts w:ascii="Calibri" w:eastAsia="Calibri" w:hAnsi="Calibri" w:cs="Calibri"/>
          <w:color w:val="000000"/>
          <w:sz w:val="20"/>
          <w:szCs w:val="20"/>
          <w:highlight w:val="yellow"/>
          <w:lang w:val="en-GB"/>
        </w:rPr>
      </w:pPr>
      <w:r w:rsidRPr="008C034F">
        <w:rPr>
          <w:rStyle w:val="FootnoteReference"/>
          <w:lang w:val="en-GB"/>
        </w:rPr>
        <w:footnoteRef/>
      </w:r>
      <w:r w:rsidRPr="008C034F">
        <w:rPr>
          <w:rFonts w:ascii="Calibri" w:eastAsia="Calibri" w:hAnsi="Calibri" w:cs="Calibri"/>
          <w:sz w:val="20"/>
          <w:szCs w:val="20"/>
          <w:lang w:val="en-GB"/>
        </w:rPr>
        <w:t xml:space="preserve"> </w:t>
      </w:r>
      <w:r w:rsidRPr="008C034F">
        <w:rPr>
          <w:rFonts w:ascii="Calibri" w:eastAsia="Calibri" w:hAnsi="Calibri" w:cs="Calibri"/>
          <w:color w:val="000000"/>
          <w:sz w:val="20"/>
          <w:szCs w:val="20"/>
          <w:lang w:val="en-GB"/>
        </w:rPr>
        <w:t xml:space="preserve">Employment Equity </w:t>
      </w:r>
      <w:r w:rsidRPr="008C034F">
        <w:rPr>
          <w:rFonts w:ascii="Calibri" w:eastAsia="Calibri" w:hAnsi="Calibri" w:cs="Calibri"/>
          <w:sz w:val="20"/>
          <w:szCs w:val="20"/>
          <w:lang w:val="en-GB"/>
        </w:rPr>
        <w:t>Regulations 2014 (SA)</w:t>
      </w:r>
      <w:r w:rsidRPr="008C034F">
        <w:rPr>
          <w:rFonts w:ascii="Calibri" w:eastAsia="Calibri" w:hAnsi="Calibri" w:cs="Calibri"/>
          <w:color w:val="000000"/>
          <w:sz w:val="20"/>
          <w:szCs w:val="20"/>
          <w:highlight w:val="yellow"/>
          <w:lang w:val="en-GB"/>
        </w:rPr>
        <w:t xml:space="preserve"> </w:t>
      </w:r>
    </w:p>
  </w:footnote>
  <w:footnote w:id="79">
    <w:p w14:paraId="768CF3DC" w14:textId="77777777" w:rsidR="00BD71B7" w:rsidRPr="008C034F" w:rsidRDefault="00BD71B7" w:rsidP="00BD71B7">
      <w:pPr>
        <w:pBdr>
          <w:top w:val="nil"/>
          <w:left w:val="nil"/>
          <w:bottom w:val="nil"/>
          <w:right w:val="nil"/>
          <w:between w:val="nil"/>
        </w:pBdr>
        <w:rPr>
          <w:rFonts w:ascii="Calibri" w:eastAsia="Calibri" w:hAnsi="Calibri" w:cs="Calibri"/>
          <w:color w:val="000000"/>
          <w:sz w:val="20"/>
          <w:szCs w:val="20"/>
          <w:lang w:val="en-GB"/>
        </w:rPr>
      </w:pPr>
      <w:r w:rsidRPr="008C034F">
        <w:rPr>
          <w:rStyle w:val="FootnoteReference"/>
          <w:lang w:val="en-GB"/>
        </w:rPr>
        <w:footnoteRef/>
      </w:r>
      <w:r w:rsidRPr="008C034F">
        <w:rPr>
          <w:rFonts w:ascii="Calibri" w:eastAsia="Calibri" w:hAnsi="Calibri" w:cs="Calibri"/>
          <w:sz w:val="20"/>
          <w:szCs w:val="20"/>
          <w:lang w:val="en-GB"/>
        </w:rPr>
        <w:t xml:space="preserve"> Ibid</w:t>
      </w:r>
      <w:r w:rsidRPr="008C034F">
        <w:rPr>
          <w:rFonts w:ascii="Calibri" w:eastAsia="Calibri" w:hAnsi="Calibri" w:cs="Calibri"/>
          <w:sz w:val="20"/>
          <w:szCs w:val="20"/>
          <w:highlight w:val="yellow"/>
          <w:lang w:val="en-GB"/>
        </w:rPr>
        <w:t xml:space="preserve"> </w:t>
      </w:r>
    </w:p>
  </w:footnote>
  <w:footnote w:id="80">
    <w:p w14:paraId="18742EF1" w14:textId="77777777" w:rsidR="00BD71B7" w:rsidRDefault="00BD71B7" w:rsidP="00BD71B7">
      <w:pPr>
        <w:pBdr>
          <w:top w:val="nil"/>
          <w:left w:val="nil"/>
          <w:bottom w:val="nil"/>
          <w:right w:val="nil"/>
          <w:between w:val="nil"/>
        </w:pBdr>
        <w:rPr>
          <w:rFonts w:ascii="Calibri" w:eastAsia="Calibri" w:hAnsi="Calibri" w:cs="Calibri"/>
          <w:color w:val="000000"/>
          <w:sz w:val="20"/>
          <w:szCs w:val="20"/>
          <w:lang w:val="en-GB"/>
        </w:rPr>
      </w:pPr>
      <w:r w:rsidRPr="008C034F">
        <w:rPr>
          <w:rStyle w:val="FootnoteReference"/>
          <w:lang w:val="en-GB"/>
        </w:rPr>
        <w:footnoteRef/>
      </w:r>
      <w:r w:rsidRPr="008C034F">
        <w:rPr>
          <w:rFonts w:ascii="Calibri" w:eastAsia="Calibri" w:hAnsi="Calibri" w:cs="Calibri"/>
          <w:color w:val="000000"/>
          <w:sz w:val="20"/>
          <w:szCs w:val="20"/>
          <w:lang w:val="en-GB"/>
        </w:rPr>
        <w:t xml:space="preserve"> Gabriel Espi, David Francis &amp; Imraan Valodia Gender inequality in the South African labour market: Insights from the Employment Equity Act data</w:t>
      </w:r>
    </w:p>
    <w:p w14:paraId="5BBFB01E" w14:textId="77777777" w:rsidR="008C034F" w:rsidRDefault="008C034F" w:rsidP="00BD71B7">
      <w:pPr>
        <w:pBdr>
          <w:top w:val="nil"/>
          <w:left w:val="nil"/>
          <w:bottom w:val="nil"/>
          <w:right w:val="nil"/>
          <w:between w:val="nil"/>
        </w:pBdr>
        <w:rPr>
          <w:rFonts w:eastAsia="Arial"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3" w:type="dxa"/>
      <w:tblLayout w:type="fixed"/>
      <w:tblCellMar>
        <w:left w:w="0" w:type="dxa"/>
        <w:right w:w="0" w:type="dxa"/>
      </w:tblCellMar>
      <w:tblLook w:val="04A0" w:firstRow="1" w:lastRow="0" w:firstColumn="1" w:lastColumn="0" w:noHBand="0" w:noVBand="1"/>
    </w:tblPr>
    <w:tblGrid>
      <w:gridCol w:w="4358"/>
      <w:gridCol w:w="5285"/>
    </w:tblGrid>
    <w:tr w:rsidR="003E09D1" w14:paraId="1894F07B" w14:textId="77777777">
      <w:tc>
        <w:tcPr>
          <w:tcW w:w="4358" w:type="dxa"/>
        </w:tcPr>
        <w:p w14:paraId="7C2E7AA0" w14:textId="77777777" w:rsidR="003E09D1" w:rsidRDefault="001B0ACE">
          <w:pPr>
            <w:pStyle w:val="Contenidodelatabla"/>
          </w:pPr>
          <w:r>
            <w:rPr>
              <w:noProof/>
            </w:rPr>
            <w:drawing>
              <wp:anchor distT="0" distB="0" distL="0" distR="0" simplePos="0" relativeHeight="8" behindDoc="1" locked="0" layoutInCell="1" allowOverlap="1" wp14:anchorId="2B0CFEFF" wp14:editId="2C9F4E16">
                <wp:simplePos x="0" y="0"/>
                <wp:positionH relativeFrom="column">
                  <wp:posOffset>11430</wp:posOffset>
                </wp:positionH>
                <wp:positionV relativeFrom="paragraph">
                  <wp:posOffset>635</wp:posOffset>
                </wp:positionV>
                <wp:extent cx="2744470" cy="596900"/>
                <wp:effectExtent l="0" t="0" r="0" b="0"/>
                <wp:wrapSquare wrapText="largest"/>
                <wp:docPr id="6"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1"/>
                        <pic:cNvPicPr>
                          <a:picLocks noChangeAspect="1" noChangeArrowheads="1"/>
                        </pic:cNvPicPr>
                      </pic:nvPicPr>
                      <pic:blipFill>
                        <a:blip r:embed="rId1"/>
                        <a:stretch>
                          <a:fillRect/>
                        </a:stretch>
                      </pic:blipFill>
                      <pic:spPr bwMode="auto">
                        <a:xfrm>
                          <a:off x="0" y="0"/>
                          <a:ext cx="2744470" cy="596900"/>
                        </a:xfrm>
                        <a:prstGeom prst="rect">
                          <a:avLst/>
                        </a:prstGeom>
                      </pic:spPr>
                    </pic:pic>
                  </a:graphicData>
                </a:graphic>
              </wp:anchor>
            </w:drawing>
          </w:r>
        </w:p>
      </w:tc>
      <w:tc>
        <w:tcPr>
          <w:tcW w:w="5284" w:type="dxa"/>
        </w:tcPr>
        <w:p w14:paraId="1E234570" w14:textId="1767217A" w:rsidR="003E09D1" w:rsidRDefault="001B0ACE">
          <w:pPr>
            <w:pStyle w:val="Contenidodelatabla"/>
            <w:jc w:val="right"/>
            <w:rPr>
              <w:b/>
              <w:bCs/>
              <w:color w:val="5B00B0"/>
              <w:sz w:val="26"/>
              <w:szCs w:val="26"/>
              <w:lang w:val="en-GB"/>
            </w:rPr>
          </w:pPr>
          <w:r>
            <w:rPr>
              <w:b/>
              <w:bCs/>
              <w:color w:val="5B00B0"/>
              <w:sz w:val="26"/>
              <w:szCs w:val="26"/>
              <w:lang w:val="en-GB"/>
            </w:rPr>
            <w:t>WP</w:t>
          </w:r>
          <w:r w:rsidR="00426575">
            <w:rPr>
              <w:b/>
              <w:bCs/>
              <w:color w:val="5B00B0"/>
              <w:sz w:val="26"/>
              <w:szCs w:val="26"/>
              <w:lang w:val="en-GB"/>
            </w:rPr>
            <w:t>4</w:t>
          </w:r>
          <w:r>
            <w:rPr>
              <w:b/>
              <w:bCs/>
              <w:color w:val="5B00B0"/>
              <w:sz w:val="26"/>
              <w:szCs w:val="26"/>
              <w:lang w:val="en-GB"/>
            </w:rPr>
            <w:t xml:space="preserve"> – </w:t>
          </w:r>
          <w:r w:rsidR="00426575">
            <w:rPr>
              <w:b/>
              <w:bCs/>
              <w:color w:val="5B00B0"/>
              <w:sz w:val="26"/>
              <w:szCs w:val="26"/>
              <w:lang w:val="en-GB"/>
            </w:rPr>
            <w:t xml:space="preserve">GENDER GAPS IN </w:t>
          </w:r>
          <w:r w:rsidR="00426575">
            <w:rPr>
              <w:b/>
              <w:bCs/>
              <w:color w:val="5B00B0"/>
              <w:sz w:val="26"/>
              <w:szCs w:val="26"/>
              <w:lang w:val="en-GB"/>
            </w:rPr>
            <w:br/>
            <w:t>EMPLOYMENT AND ENTERPRISE</w:t>
          </w:r>
        </w:p>
        <w:p w14:paraId="4A2B9029" w14:textId="77777777" w:rsidR="003E09D1" w:rsidRDefault="003E09D1">
          <w:pPr>
            <w:pStyle w:val="Contenidodelatabla"/>
            <w:rPr>
              <w:b/>
              <w:bCs/>
              <w:color w:val="5B00B0"/>
              <w:sz w:val="18"/>
              <w:szCs w:val="18"/>
              <w:lang w:val="en-GB"/>
            </w:rPr>
          </w:pPr>
        </w:p>
        <w:p w14:paraId="044650C3" w14:textId="77777777" w:rsidR="003E09D1" w:rsidRDefault="001B0ACE">
          <w:pPr>
            <w:pStyle w:val="Contenidodelatabla"/>
            <w:jc w:val="right"/>
            <w:rPr>
              <w:lang w:val="en-GB"/>
            </w:rPr>
          </w:pPr>
          <w:hyperlink r:id="rId2">
            <w:r>
              <w:rPr>
                <w:rStyle w:val="EnlacedeInternet"/>
                <w:b/>
                <w:bCs/>
                <w:color w:val="474747"/>
                <w:sz w:val="18"/>
                <w:szCs w:val="18"/>
                <w:u w:val="none"/>
                <w:lang w:val="en-GB"/>
              </w:rPr>
              <w:t>https://re-wiring.eu</w:t>
            </w:r>
          </w:hyperlink>
        </w:p>
      </w:tc>
    </w:tr>
  </w:tbl>
  <w:p w14:paraId="24DA5588" w14:textId="77777777" w:rsidR="003E09D1" w:rsidRDefault="001B0ACE">
    <w:pPr>
      <w:rPr>
        <w:color w:val="5E5E5E"/>
        <w:sz w:val="12"/>
        <w:szCs w:val="12"/>
      </w:rPr>
    </w:pPr>
    <w:r>
      <w:rPr>
        <w:color w:val="5E5E5E"/>
        <w:sz w:val="12"/>
        <w:szCs w:val="12"/>
      </w:rPr>
      <w:t>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6A90"/>
    <w:multiLevelType w:val="multilevel"/>
    <w:tmpl w:val="D0527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78428C9"/>
    <w:multiLevelType w:val="multilevel"/>
    <w:tmpl w:val="DF52ED5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4ED213AE"/>
    <w:multiLevelType w:val="multilevel"/>
    <w:tmpl w:val="5B7060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0FD1A27"/>
    <w:multiLevelType w:val="multilevel"/>
    <w:tmpl w:val="EDE85B3E"/>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decimal"/>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19302FE"/>
    <w:multiLevelType w:val="multilevel"/>
    <w:tmpl w:val="11F08C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46333243">
    <w:abstractNumId w:val="1"/>
  </w:num>
  <w:num w:numId="2" w16cid:durableId="863254620">
    <w:abstractNumId w:val="4"/>
  </w:num>
  <w:num w:numId="3" w16cid:durableId="1469863266">
    <w:abstractNumId w:val="0"/>
  </w:num>
  <w:num w:numId="4" w16cid:durableId="746416183">
    <w:abstractNumId w:val="3"/>
  </w:num>
  <w:num w:numId="5" w16cid:durableId="909772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D1"/>
    <w:rsid w:val="00007B3A"/>
    <w:rsid w:val="00020DBF"/>
    <w:rsid w:val="000246C1"/>
    <w:rsid w:val="00054E37"/>
    <w:rsid w:val="0005504D"/>
    <w:rsid w:val="000649F9"/>
    <w:rsid w:val="00080A14"/>
    <w:rsid w:val="0009101F"/>
    <w:rsid w:val="00097F8D"/>
    <w:rsid w:val="000E0D49"/>
    <w:rsid w:val="000E3CA2"/>
    <w:rsid w:val="000E796E"/>
    <w:rsid w:val="00124EDF"/>
    <w:rsid w:val="001433AA"/>
    <w:rsid w:val="001534FC"/>
    <w:rsid w:val="001815F6"/>
    <w:rsid w:val="00186385"/>
    <w:rsid w:val="001B0ACE"/>
    <w:rsid w:val="001D6633"/>
    <w:rsid w:val="00240688"/>
    <w:rsid w:val="00270769"/>
    <w:rsid w:val="002718A5"/>
    <w:rsid w:val="002B7F44"/>
    <w:rsid w:val="002E0BFE"/>
    <w:rsid w:val="002E7E3A"/>
    <w:rsid w:val="003144CD"/>
    <w:rsid w:val="003346EE"/>
    <w:rsid w:val="00356A91"/>
    <w:rsid w:val="003C38CA"/>
    <w:rsid w:val="003C4845"/>
    <w:rsid w:val="003E09D1"/>
    <w:rsid w:val="00426575"/>
    <w:rsid w:val="00456975"/>
    <w:rsid w:val="00475929"/>
    <w:rsid w:val="00487EC3"/>
    <w:rsid w:val="004B2EFF"/>
    <w:rsid w:val="004C3BFE"/>
    <w:rsid w:val="004E43B9"/>
    <w:rsid w:val="004F4DB0"/>
    <w:rsid w:val="00545782"/>
    <w:rsid w:val="0055530E"/>
    <w:rsid w:val="005C43A5"/>
    <w:rsid w:val="005D1F43"/>
    <w:rsid w:val="006024C6"/>
    <w:rsid w:val="00602F05"/>
    <w:rsid w:val="00634DC7"/>
    <w:rsid w:val="0068319A"/>
    <w:rsid w:val="006A46D6"/>
    <w:rsid w:val="006C7AA8"/>
    <w:rsid w:val="006D7B42"/>
    <w:rsid w:val="007072A7"/>
    <w:rsid w:val="007074EC"/>
    <w:rsid w:val="00722C22"/>
    <w:rsid w:val="0077355E"/>
    <w:rsid w:val="007A0E80"/>
    <w:rsid w:val="007A47DF"/>
    <w:rsid w:val="007F395E"/>
    <w:rsid w:val="0089675E"/>
    <w:rsid w:val="008C034F"/>
    <w:rsid w:val="008E5D62"/>
    <w:rsid w:val="00940119"/>
    <w:rsid w:val="009B6EA6"/>
    <w:rsid w:val="009C419C"/>
    <w:rsid w:val="00A04E2B"/>
    <w:rsid w:val="00A675ED"/>
    <w:rsid w:val="00A76941"/>
    <w:rsid w:val="00A858B3"/>
    <w:rsid w:val="00A86356"/>
    <w:rsid w:val="00AC03A5"/>
    <w:rsid w:val="00AC24E5"/>
    <w:rsid w:val="00AE064A"/>
    <w:rsid w:val="00AF4EBD"/>
    <w:rsid w:val="00B620BC"/>
    <w:rsid w:val="00B66C25"/>
    <w:rsid w:val="00B86032"/>
    <w:rsid w:val="00BA6FA1"/>
    <w:rsid w:val="00BD4F4B"/>
    <w:rsid w:val="00BD71B7"/>
    <w:rsid w:val="00BE2385"/>
    <w:rsid w:val="00C365D5"/>
    <w:rsid w:val="00C776AF"/>
    <w:rsid w:val="00CA7D97"/>
    <w:rsid w:val="00CE1633"/>
    <w:rsid w:val="00D03830"/>
    <w:rsid w:val="00D05801"/>
    <w:rsid w:val="00D15648"/>
    <w:rsid w:val="00D17768"/>
    <w:rsid w:val="00D42B17"/>
    <w:rsid w:val="00D97FBA"/>
    <w:rsid w:val="00DB6B71"/>
    <w:rsid w:val="00E21A53"/>
    <w:rsid w:val="00E36EC1"/>
    <w:rsid w:val="00E37456"/>
    <w:rsid w:val="00E51896"/>
    <w:rsid w:val="00E6151F"/>
    <w:rsid w:val="00E86EC4"/>
    <w:rsid w:val="00E87F5B"/>
    <w:rsid w:val="00E91FD5"/>
    <w:rsid w:val="00E92DED"/>
    <w:rsid w:val="00EA2029"/>
    <w:rsid w:val="00EB51D7"/>
    <w:rsid w:val="00EB7139"/>
    <w:rsid w:val="00F03FA2"/>
    <w:rsid w:val="00F31BFA"/>
    <w:rsid w:val="00F464DE"/>
    <w:rsid w:val="00FC5412"/>
    <w:rsid w:val="00FD63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D3FD910"/>
  <w15:docId w15:val="{3DBE44F2-72AB-4A1E-9B59-A9DFA6F2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Noto Serif CJK SC" w:hAnsi="Arial" w:cs="Lohit Devanagari"/>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qFormat/>
    <w:rsid w:val="00097F8D"/>
    <w:pPr>
      <w:jc w:val="both"/>
      <w:outlineLvl w:val="0"/>
    </w:pPr>
    <w:rPr>
      <w:rFonts w:ascii="Calibri" w:eastAsia="Calibri" w:hAnsi="Calibri" w:cs="Calibri"/>
      <w:b/>
      <w:color w:val="7731D8"/>
      <w:lang w:val="en-GB"/>
    </w:rPr>
  </w:style>
  <w:style w:type="paragraph" w:styleId="Heading3">
    <w:name w:val="heading 3"/>
    <w:basedOn w:val="Normal"/>
    <w:next w:val="Normal"/>
    <w:link w:val="Heading3Char"/>
    <w:uiPriority w:val="9"/>
    <w:semiHidden/>
    <w:unhideWhenUsed/>
    <w:qFormat/>
    <w:rsid w:val="0009101F"/>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lacedeInternet">
    <w:name w:val="Enlace de Internet"/>
    <w:rPr>
      <w:color w:val="000080"/>
      <w:u w:val="single"/>
    </w:rPr>
  </w:style>
  <w:style w:type="character" w:customStyle="1" w:styleId="Enlacedelndice">
    <w:name w:val="Enlace del índice"/>
    <w:qFormat/>
  </w:style>
  <w:style w:type="paragraph" w:customStyle="1" w:styleId="Ttulo">
    <w:name w:val="Título"/>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Title">
    <w:name w:val="Title"/>
    <w:basedOn w:val="Normal"/>
    <w:next w:val="BodyText"/>
    <w:qFormat/>
    <w:pPr>
      <w:ind w:left="101"/>
    </w:pPr>
    <w:rPr>
      <w:rFonts w:ascii="Tahoma" w:eastAsia="Tahoma" w:hAnsi="Tahoma" w:cs="Tahoma"/>
      <w:b/>
      <w:bCs/>
      <w:sz w:val="114"/>
      <w:szCs w:val="114"/>
      <w:lang w:val="en-US" w:eastAsia="en-US" w:bidi="ar-SA"/>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abeceraypie">
    <w:name w:val="Cabecera y pie"/>
    <w:basedOn w:val="Normal"/>
    <w:qFormat/>
    <w:pPr>
      <w:suppressLineNumbers/>
      <w:tabs>
        <w:tab w:val="center" w:pos="4819"/>
        <w:tab w:val="right" w:pos="9638"/>
      </w:tabs>
    </w:pPr>
  </w:style>
  <w:style w:type="paragraph" w:styleId="Footer">
    <w:name w:val="footer"/>
    <w:basedOn w:val="Cabeceraypie"/>
  </w:style>
  <w:style w:type="paragraph" w:styleId="Header">
    <w:name w:val="header"/>
    <w:basedOn w:val="Cabeceraypie"/>
  </w:style>
  <w:style w:type="paragraph" w:styleId="TOC1">
    <w:name w:val="toc 1"/>
    <w:basedOn w:val="ndice"/>
    <w:uiPriority w:val="39"/>
    <w:pPr>
      <w:suppressLineNumbers w:val="0"/>
      <w:spacing w:before="120" w:after="120"/>
    </w:pPr>
    <w:rPr>
      <w:rFonts w:asciiTheme="minorHAnsi" w:hAnsiTheme="minorHAnsi" w:cstheme="minorHAnsi"/>
      <w:b/>
      <w:bCs/>
      <w:caps/>
      <w:sz w:val="20"/>
      <w:szCs w:val="20"/>
    </w:rPr>
  </w:style>
  <w:style w:type="paragraph" w:customStyle="1" w:styleId="Contenidodelmarco">
    <w:name w:val="Contenido del marco"/>
    <w:basedOn w:val="Normal"/>
    <w:qFormat/>
  </w:style>
  <w:style w:type="character" w:customStyle="1" w:styleId="Heading3Char">
    <w:name w:val="Heading 3 Char"/>
    <w:basedOn w:val="DefaultParagraphFont"/>
    <w:link w:val="Heading3"/>
    <w:uiPriority w:val="9"/>
    <w:semiHidden/>
    <w:rsid w:val="0009101F"/>
    <w:rPr>
      <w:rFonts w:asciiTheme="majorHAnsi" w:eastAsiaTheme="majorEastAsia" w:hAnsiTheme="majorHAnsi" w:cs="Mangal"/>
      <w:color w:val="1F4D78" w:themeColor="accent1" w:themeShade="7F"/>
      <w:szCs w:val="21"/>
    </w:rPr>
  </w:style>
  <w:style w:type="character" w:styleId="CommentReference">
    <w:name w:val="annotation reference"/>
    <w:basedOn w:val="DefaultParagraphFont"/>
    <w:uiPriority w:val="99"/>
    <w:semiHidden/>
    <w:unhideWhenUsed/>
    <w:rsid w:val="0009101F"/>
    <w:rPr>
      <w:sz w:val="16"/>
      <w:szCs w:val="16"/>
    </w:rPr>
  </w:style>
  <w:style w:type="paragraph" w:styleId="CommentText">
    <w:name w:val="annotation text"/>
    <w:basedOn w:val="Normal"/>
    <w:link w:val="CommentTextChar"/>
    <w:uiPriority w:val="99"/>
    <w:semiHidden/>
    <w:unhideWhenUsed/>
    <w:rsid w:val="0009101F"/>
    <w:rPr>
      <w:rFonts w:cs="Mangal"/>
      <w:sz w:val="20"/>
      <w:szCs w:val="18"/>
    </w:rPr>
  </w:style>
  <w:style w:type="character" w:customStyle="1" w:styleId="CommentTextChar">
    <w:name w:val="Comment Text Char"/>
    <w:basedOn w:val="DefaultParagraphFont"/>
    <w:link w:val="CommentText"/>
    <w:uiPriority w:val="99"/>
    <w:semiHidden/>
    <w:rsid w:val="0009101F"/>
    <w:rPr>
      <w:rFonts w:cs="Mangal"/>
      <w:sz w:val="20"/>
      <w:szCs w:val="18"/>
    </w:rPr>
  </w:style>
  <w:style w:type="paragraph" w:styleId="CommentSubject">
    <w:name w:val="annotation subject"/>
    <w:basedOn w:val="CommentText"/>
    <w:next w:val="CommentText"/>
    <w:link w:val="CommentSubjectChar"/>
    <w:uiPriority w:val="99"/>
    <w:semiHidden/>
    <w:unhideWhenUsed/>
    <w:rsid w:val="0009101F"/>
    <w:rPr>
      <w:b/>
      <w:bCs/>
    </w:rPr>
  </w:style>
  <w:style w:type="character" w:customStyle="1" w:styleId="CommentSubjectChar">
    <w:name w:val="Comment Subject Char"/>
    <w:basedOn w:val="CommentTextChar"/>
    <w:link w:val="CommentSubject"/>
    <w:uiPriority w:val="99"/>
    <w:semiHidden/>
    <w:rsid w:val="0009101F"/>
    <w:rPr>
      <w:rFonts w:cs="Mangal"/>
      <w:b/>
      <w:bCs/>
      <w:sz w:val="20"/>
      <w:szCs w:val="18"/>
    </w:rPr>
  </w:style>
  <w:style w:type="paragraph" w:styleId="BalloonText">
    <w:name w:val="Balloon Text"/>
    <w:basedOn w:val="Normal"/>
    <w:link w:val="BalloonTextChar"/>
    <w:uiPriority w:val="99"/>
    <w:semiHidden/>
    <w:unhideWhenUsed/>
    <w:rsid w:val="0009101F"/>
    <w:rPr>
      <w:rFonts w:ascii="Segoe UI" w:hAnsi="Segoe UI" w:cs="Mangal"/>
      <w:sz w:val="18"/>
      <w:szCs w:val="16"/>
    </w:rPr>
  </w:style>
  <w:style w:type="character" w:customStyle="1" w:styleId="BalloonTextChar">
    <w:name w:val="Balloon Text Char"/>
    <w:basedOn w:val="DefaultParagraphFont"/>
    <w:link w:val="BalloonText"/>
    <w:uiPriority w:val="99"/>
    <w:semiHidden/>
    <w:rsid w:val="0009101F"/>
    <w:rPr>
      <w:rFonts w:ascii="Segoe UI" w:hAnsi="Segoe UI" w:cs="Mangal"/>
      <w:sz w:val="18"/>
      <w:szCs w:val="16"/>
    </w:rPr>
  </w:style>
  <w:style w:type="character" w:styleId="FootnoteReference">
    <w:name w:val="footnote reference"/>
    <w:basedOn w:val="DefaultParagraphFont"/>
    <w:uiPriority w:val="99"/>
    <w:semiHidden/>
    <w:unhideWhenUsed/>
    <w:rsid w:val="00BD71B7"/>
    <w:rPr>
      <w:vertAlign w:val="superscript"/>
    </w:rPr>
  </w:style>
  <w:style w:type="paragraph" w:customStyle="1" w:styleId="p1">
    <w:name w:val="p1"/>
    <w:basedOn w:val="Normal"/>
    <w:rsid w:val="007074EC"/>
    <w:pPr>
      <w:suppressAutoHyphens w:val="0"/>
    </w:pPr>
    <w:rPr>
      <w:rFonts w:eastAsia="Times New Roman" w:cs="Arial"/>
      <w:color w:val="000000"/>
      <w:kern w:val="0"/>
      <w:sz w:val="17"/>
      <w:szCs w:val="17"/>
      <w:lang w:val="en-IT" w:eastAsia="ko-KR" w:bidi="ar-SA"/>
    </w:rPr>
  </w:style>
  <w:style w:type="character" w:customStyle="1" w:styleId="s1">
    <w:name w:val="s1"/>
    <w:basedOn w:val="DefaultParagraphFont"/>
    <w:rsid w:val="007074EC"/>
    <w:rPr>
      <w:rFonts w:ascii="Helvetica" w:hAnsi="Helvetica" w:hint="default"/>
      <w:sz w:val="17"/>
      <w:szCs w:val="17"/>
    </w:rPr>
  </w:style>
  <w:style w:type="character" w:styleId="Hyperlink">
    <w:name w:val="Hyperlink"/>
    <w:basedOn w:val="DefaultParagraphFont"/>
    <w:uiPriority w:val="99"/>
    <w:unhideWhenUsed/>
    <w:rsid w:val="001D6633"/>
    <w:rPr>
      <w:color w:val="0563C1" w:themeColor="hyperlink"/>
      <w:u w:val="single"/>
    </w:rPr>
  </w:style>
  <w:style w:type="character" w:styleId="UnresolvedMention">
    <w:name w:val="Unresolved Mention"/>
    <w:basedOn w:val="DefaultParagraphFont"/>
    <w:uiPriority w:val="99"/>
    <w:semiHidden/>
    <w:unhideWhenUsed/>
    <w:rsid w:val="001D6633"/>
    <w:rPr>
      <w:color w:val="605E5C"/>
      <w:shd w:val="clear" w:color="auto" w:fill="E1DFDD"/>
    </w:rPr>
  </w:style>
  <w:style w:type="paragraph" w:styleId="TOCHeading">
    <w:name w:val="TOC Heading"/>
    <w:basedOn w:val="Heading1"/>
    <w:next w:val="Normal"/>
    <w:uiPriority w:val="39"/>
    <w:unhideWhenUsed/>
    <w:qFormat/>
    <w:rsid w:val="003144CD"/>
    <w:pPr>
      <w:keepNext/>
      <w:keepLines/>
      <w:suppressAutoHyphens w:val="0"/>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TOC2">
    <w:name w:val="toc 2"/>
    <w:basedOn w:val="Normal"/>
    <w:next w:val="Normal"/>
    <w:autoRedefine/>
    <w:uiPriority w:val="39"/>
    <w:unhideWhenUsed/>
    <w:rsid w:val="003144CD"/>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3144CD"/>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3144CD"/>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3144CD"/>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3144CD"/>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3144CD"/>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3144CD"/>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3144CD"/>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m.coe.int/168048b059%20accessed%205%20May%202025" TargetMode="External"/><Relationship Id="rId18" Type="http://schemas.openxmlformats.org/officeDocument/2006/relationships/hyperlink" Target="https://op.europa.eu/en/publication-detail/-/publication/7342d801-86cc-4f59-a71a-2ff7c0e04123" TargetMode="External"/><Relationship Id="rId26" Type="http://schemas.openxmlformats.org/officeDocument/2006/relationships/hyperlink" Target="https://ec.europa.eu/eurostat/documents/3888793/8979317/KS-TC-18-003-EN-N.pdf/3a6c9295-5e66-4b79-b009-ea1604770676?t=1528790952000" TargetMode="External"/><Relationship Id="rId3" Type="http://schemas.openxmlformats.org/officeDocument/2006/relationships/customXml" Target="../customXml/item3.xml"/><Relationship Id="rId21" Type="http://schemas.openxmlformats.org/officeDocument/2006/relationships/hyperlink" Target="https://www.consilium.europa.eu/en/press/press-releases/2023/04/24/gender-pay-gap-council-adopts-new-rules-on-pay-transparency/"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commission.europa.eu/strategy-and-policy/policies/justice-and-fundamental-rights/gender-equality/women-labour-market-work-life-balance/womens-situation-labour-market_en" TargetMode="External"/><Relationship Id="rId25" Type="http://schemas.openxmlformats.org/officeDocument/2006/relationships/hyperlink" Target="https://ec.europa.eu/eurostat/statistics-explained/index.php?title=Gender_pay_gap_statistic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ta.europa.eu/doi/10.2838/48187" TargetMode="External"/><Relationship Id="rId20" Type="http://schemas.openxmlformats.org/officeDocument/2006/relationships/hyperlink" Target="https://data.europa.eu/doi/10.2838/48187" TargetMode="External"/><Relationship Id="rId29" Type="http://schemas.openxmlformats.org/officeDocument/2006/relationships/hyperlink" Target="https://re-wiring.eu/wp-content/uploads/2024/01/A-Review-of-Concepts-of-Gendered-Power-Hierarchies-and-their-Taxonomy.300923_compressed.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ec.europa.eu/eurostat/statistics-explained/index.php?title=Glossary:Structure_of_earnings_survey_(SES)" TargetMode="External"/><Relationship Id="rId32" Type="http://schemas.openxmlformats.org/officeDocument/2006/relationships/hyperlink" Target="https://re-wiring.eu/" TargetMode="External"/><Relationship Id="rId5" Type="http://schemas.openxmlformats.org/officeDocument/2006/relationships/styles" Target="styles.xml"/><Relationship Id="rId15" Type="http://schemas.openxmlformats.org/officeDocument/2006/relationships/hyperlink" Target="https://commission.europa.eu/strategy-and-policy/policies/justice-and-fundamental-rights/gender-equality/equal-pay/gender-pay-gap-situation-eu_en%20%20accessed%2020%20February%202025" TargetMode="External"/><Relationship Id="rId23" Type="http://schemas.openxmlformats.org/officeDocument/2006/relationships/hyperlink" Target="https://www.europarl.europa.eu/news/en/headlines/society/20200109STO69925/understanding-the-gender-pay-gap-definition-and-causes" TargetMode="External"/><Relationship Id="rId28" Type="http://schemas.openxmlformats.org/officeDocument/2006/relationships/hyperlink" Target="https://re-wiring.eu/"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ommission.europa.eu/strategy-and-policy/policies/justice-and-fundamental-rights/gender-equality/women-labour-market-work-life-balance/womens-situation-labour-market_en" TargetMode="External"/><Relationship Id="rId31" Type="http://schemas.openxmlformats.org/officeDocument/2006/relationships/hyperlink" Target="https://re-wiring.eu/wp-content/uploads/2025/02/D.2.1-Working-paper-on-an-effective-transformative-equality-strategy-towards-enhancing-womens-representation-in-decision-making-and-leadership-positions.pdf%20accessed%2020%20February%20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EN/TXT/PDF/?uri=CELEX:52020DC0152" TargetMode="External"/><Relationship Id="rId22" Type="http://schemas.openxmlformats.org/officeDocument/2006/relationships/hyperlink" Target="https://www.consilium.europa.eu/en/policies/pay-transparency/" TargetMode="External"/><Relationship Id="rId27" Type="http://schemas.openxmlformats.org/officeDocument/2006/relationships/hyperlink" Target="https://data.oecd.org/earnwage/gender-wage-gap.htm" TargetMode="External"/><Relationship Id="rId30" Type="http://schemas.openxmlformats.org/officeDocument/2006/relationships/hyperlink" Target="https://re-wiring.eu/wp-content/uploads/2025/02/The-RE-WIRING-Transformative-Equality-Approach-And-Research-Methodology-Template.pdf"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op.europa.eu/en/publication-detail/-/publication/7342d801-86cc-4f59-a71a-2ff7c0e04123" TargetMode="External"/><Relationship Id="rId13" Type="http://schemas.openxmlformats.org/officeDocument/2006/relationships/hyperlink" Target="https://ec.europa.eu/eurostat/documents/3888793/8979317/KS-TC-18-003-EN-N.pdf/3a6c9295-5e66-4b79-b009-ea1604770676?t=1528790952000" TargetMode="External"/><Relationship Id="rId18" Type="http://schemas.openxmlformats.org/officeDocument/2006/relationships/hyperlink" Target="https://www.consilium.europa.eu/en/policies/pay-transparency/" TargetMode="External"/><Relationship Id="rId3" Type="http://schemas.openxmlformats.org/officeDocument/2006/relationships/hyperlink" Target="https://ec.europa.eu/eurostat/statistics-explained/index.php?title=Gender_pay_gap_statistics" TargetMode="External"/><Relationship Id="rId7" Type="http://schemas.openxmlformats.org/officeDocument/2006/relationships/hyperlink" Target="https://re-wiring.eu/wp-content/uploads/2025/02/The-RE-WIRING-Transformative-Equality-Approach-And-Research-Methodology-Template.pdf" TargetMode="External"/><Relationship Id="rId12" Type="http://schemas.openxmlformats.org/officeDocument/2006/relationships/hyperlink" Target="https://ec.europa.eu/eurostat/statistics-explained/index.php?title=Glossary:Structure_of_earnings_survey_(SES)" TargetMode="External"/><Relationship Id="rId17" Type="http://schemas.openxmlformats.org/officeDocument/2006/relationships/hyperlink" Target="https://www.consilium.europa.eu/en/press/press-releases/2023/04/24/gender-pay-gap-council-adopts-new-rules-on-pay-transparency/" TargetMode="External"/><Relationship Id="rId2" Type="http://schemas.openxmlformats.org/officeDocument/2006/relationships/hyperlink" Target="https://data.europa.eu/doi/10.2838/48187" TargetMode="External"/><Relationship Id="rId16" Type="http://schemas.openxmlformats.org/officeDocument/2006/relationships/hyperlink" Target="https://commission.europa.eu/strategy-and-policy/policies/justice-and-fundamental-rights/gender-equality/equal-pay/gender-pay-gap-situation-eu_en" TargetMode="External"/><Relationship Id="rId1" Type="http://schemas.openxmlformats.org/officeDocument/2006/relationships/hyperlink" Target="https://www.europarl.europa.eu/news/en/headlines/society/20200109STO69925/understanding-the-gender-pay-gap-definition-and-causes" TargetMode="External"/><Relationship Id="rId6" Type="http://schemas.openxmlformats.org/officeDocument/2006/relationships/hyperlink" Target="https://re-wiring.eu/gender-gaps-in-employment-and-enterprise/" TargetMode="External"/><Relationship Id="rId11" Type="http://schemas.openxmlformats.org/officeDocument/2006/relationships/hyperlink" Target="https://re-wiring.eu/" TargetMode="External"/><Relationship Id="rId5" Type="http://schemas.openxmlformats.org/officeDocument/2006/relationships/hyperlink" Target="https://re-wiring.eu/wp-content/uploads/2025/02/D.2.1-Working-paper-on-an-effective-transformative-equality-strategy-towards-enhancing-womens-representation-in-decision-making-and-leadership-positions.pdf" TargetMode="External"/><Relationship Id="rId15" Type="http://schemas.openxmlformats.org/officeDocument/2006/relationships/hyperlink" Target="https://data.europa.eu/doi/10.2838/48187" TargetMode="External"/><Relationship Id="rId10" Type="http://schemas.openxmlformats.org/officeDocument/2006/relationships/hyperlink" Target="https://commission.europa.eu/strategy-and-policy/policies/justice-and-fundamental-rights/gender-equality/women-labour-market-work-life-balance/womens-situation-labour-market_en" TargetMode="External"/><Relationship Id="rId19" Type="http://schemas.openxmlformats.org/officeDocument/2006/relationships/hyperlink" Target="https://eur-lex.europa.eu/legal-content/EN/TXT/PDF/?uri=CELEX:52020DC0152" TargetMode="External"/><Relationship Id="rId4" Type="http://schemas.openxmlformats.org/officeDocument/2006/relationships/hyperlink" Target="https://re-wiring.eu/wp-content/uploads/2024/01/A-Review-of-Concepts-of-Gendered-Power-Hierarchies-and-their-Taxonomy.300923_compressed.pdf" TargetMode="External"/><Relationship Id="rId9" Type="http://schemas.openxmlformats.org/officeDocument/2006/relationships/hyperlink" Target="https://re-wiring.eu/" TargetMode="External"/><Relationship Id="rId14" Type="http://schemas.openxmlformats.org/officeDocument/2006/relationships/hyperlink" Target="https://data.oecd.org/earnwage/gender-wage-gap.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re-wiring.eu/"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aa727379-6fb9-4fcb-8989-f04133fb02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F43E64CC4EFF4F862F6E5A271EDFD0" ma:contentTypeVersion="16" ma:contentTypeDescription="Create a new document." ma:contentTypeScope="" ma:versionID="9987352f11214c41bb580035f71453e8">
  <xsd:schema xmlns:xsd="http://www.w3.org/2001/XMLSchema" xmlns:xs="http://www.w3.org/2001/XMLSchema" xmlns:p="http://schemas.microsoft.com/office/2006/metadata/properties" xmlns:ns2="aa727379-6fb9-4fcb-8989-f04133fb0257" xmlns:ns3="a6f04035-de54-4c0b-8908-9bb0ef7a8006" xmlns:ns4="53df6a5f-9334-4503-a845-5e05459a4c71" targetNamespace="http://schemas.microsoft.com/office/2006/metadata/properties" ma:root="true" ma:fieldsID="81a847a7eeecbb02e1ae6f05e3f5c207" ns2:_="" ns3:_="" ns4:_="">
    <xsd:import namespace="aa727379-6fb9-4fcb-8989-f04133fb0257"/>
    <xsd:import namespace="a6f04035-de54-4c0b-8908-9bb0ef7a8006"/>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27379-6fb9-4fcb-8989-f04133fb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f04035-de54-4c0b-8908-9bb0ef7a80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2f0e44a-0621-498c-9d6b-fcf811d4cfe1}" ma:internalName="TaxCatchAll" ma:showField="CatchAllData" ma:web="a6f04035-de54-4c0b-8908-9bb0ef7a8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C12F3-9C15-44DD-8366-9470821E0FB2}">
  <ds:schemaRefs>
    <ds:schemaRef ds:uri="http://schemas.microsoft.com/sharepoint/v3/contenttype/forms"/>
  </ds:schemaRefs>
</ds:datastoreItem>
</file>

<file path=customXml/itemProps2.xml><?xml version="1.0" encoding="utf-8"?>
<ds:datastoreItem xmlns:ds="http://schemas.openxmlformats.org/officeDocument/2006/customXml" ds:itemID="{FF72CFF1-1EDC-4657-8ED7-BDE083BB4E3D}">
  <ds:schemaRefs>
    <ds:schemaRef ds:uri="http://schemas.microsoft.com/office/2006/metadata/properties"/>
    <ds:schemaRef ds:uri="http://schemas.microsoft.com/office/infopath/2007/PartnerControls"/>
    <ds:schemaRef ds:uri="53df6a5f-9334-4503-a845-5e05459a4c71"/>
    <ds:schemaRef ds:uri="aa727379-6fb9-4fcb-8989-f04133fb0257"/>
  </ds:schemaRefs>
</ds:datastoreItem>
</file>

<file path=customXml/itemProps3.xml><?xml version="1.0" encoding="utf-8"?>
<ds:datastoreItem xmlns:ds="http://schemas.openxmlformats.org/officeDocument/2006/customXml" ds:itemID="{3D5DE727-9666-47D7-A688-FE28BA5A8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27379-6fb9-4fcb-8989-f04133fb0257"/>
    <ds:schemaRef ds:uri="a6f04035-de54-4c0b-8908-9bb0ef7a8006"/>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27</Pages>
  <Words>8798</Words>
  <Characters>50150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Universidad de Deusto</Company>
  <LinksUpToDate>false</LinksUpToDate>
  <CharactersWithSpaces>58831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Fernández</dc:creator>
  <dc:description/>
  <cp:lastModifiedBy>Mariangela D'Acri</cp:lastModifiedBy>
  <cp:revision>35</cp:revision>
  <dcterms:created xsi:type="dcterms:W3CDTF">2023-09-27T11:10:00Z</dcterms:created>
  <dcterms:modified xsi:type="dcterms:W3CDTF">2025-10-29T09:59:00Z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0x010100BDF43E64CC4EFF4F862F6E5A271EDFD0</vt:lpwstr>
  </property>
</Properties>
</file>